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3A396B" w:rsidRPr="003A396B">
        <w:rPr>
          <w:sz w:val="22"/>
          <w:szCs w:val="22"/>
        </w:rPr>
        <w:t>3</w:t>
      </w:r>
      <w:r w:rsidR="00CE5081" w:rsidRPr="00CE5081">
        <w:rPr>
          <w:sz w:val="22"/>
          <w:szCs w:val="22"/>
        </w:rPr>
        <w:t>0</w:t>
      </w:r>
      <w:r w:rsidR="00BF264D">
        <w:rPr>
          <w:sz w:val="22"/>
          <w:szCs w:val="22"/>
        </w:rPr>
        <w:t>.0</w:t>
      </w:r>
      <w:r w:rsidR="00CE5081" w:rsidRPr="00CE5081">
        <w:rPr>
          <w:sz w:val="22"/>
          <w:szCs w:val="22"/>
        </w:rPr>
        <w:t>5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CE5081" w:rsidRPr="00CE5081">
        <w:rPr>
          <w:sz w:val="22"/>
          <w:szCs w:val="22"/>
        </w:rPr>
        <w:t>60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5B7D86" w:rsidRPr="005B7D86">
        <w:rPr>
          <w:b/>
          <w:sz w:val="22"/>
          <w:szCs w:val="22"/>
        </w:rPr>
        <w:t>1</w:t>
      </w:r>
      <w:r w:rsidR="00932584" w:rsidRPr="00932584">
        <w:rPr>
          <w:b/>
          <w:sz w:val="22"/>
          <w:szCs w:val="22"/>
        </w:rPr>
        <w:t>9</w:t>
      </w:r>
      <w:r w:rsidR="00607DA8">
        <w:rPr>
          <w:b/>
          <w:sz w:val="22"/>
          <w:szCs w:val="22"/>
        </w:rPr>
        <w:t xml:space="preserve"> </w:t>
      </w:r>
      <w:r w:rsidR="00CE5081">
        <w:rPr>
          <w:b/>
          <w:sz w:val="22"/>
          <w:szCs w:val="22"/>
        </w:rPr>
        <w:t>июн</w:t>
      </w:r>
      <w:r w:rsidR="00932584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096BEF">
        <w:rPr>
          <w:sz w:val="22"/>
          <w:szCs w:val="22"/>
        </w:rPr>
        <w:t xml:space="preserve">сезонных </w:t>
      </w:r>
      <w:r w:rsidR="00376D8E">
        <w:rPr>
          <w:sz w:val="22"/>
          <w:szCs w:val="22"/>
        </w:rPr>
        <w:t xml:space="preserve">объектов по предоставлению услуг </w:t>
      </w:r>
      <w:r w:rsidR="005B7D86">
        <w:rPr>
          <w:sz w:val="22"/>
          <w:szCs w:val="22"/>
        </w:rPr>
        <w:t xml:space="preserve">по прокату и продаже спортивного инвентаря и снаряжения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 xml:space="preserve">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CE5081" w:rsidRPr="00CE25CD" w:rsidTr="009B58B2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CE5081" w:rsidRPr="00CE25CD" w:rsidRDefault="00CE5081" w:rsidP="009B58B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CE5081" w:rsidRPr="00CE25CD" w:rsidRDefault="00CE5081" w:rsidP="009B58B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E5081" w:rsidRPr="00CE25CD" w:rsidRDefault="00CE5081" w:rsidP="009B58B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CE5081" w:rsidRPr="00CE25CD" w:rsidRDefault="00CE5081" w:rsidP="009B58B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CE5081" w:rsidRPr="00CE25CD" w:rsidRDefault="00CE5081" w:rsidP="009B58B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E5081" w:rsidRPr="00CE25CD" w:rsidRDefault="00CE5081" w:rsidP="009B58B2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E5081" w:rsidRPr="00CE25CD" w:rsidRDefault="00CE5081" w:rsidP="009B58B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CE5081" w:rsidRPr="00CE25CD" w:rsidRDefault="00CE5081" w:rsidP="009B58B2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CE5081" w:rsidRPr="00CE25CD" w:rsidRDefault="00CE5081" w:rsidP="009B58B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CE5081" w:rsidRPr="00CE25CD" w:rsidRDefault="00CE5081" w:rsidP="009B58B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CE5081" w:rsidRPr="00CE25CD" w:rsidRDefault="00CE5081" w:rsidP="009B58B2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E5081" w:rsidRPr="00CE25CD" w:rsidRDefault="00CE5081" w:rsidP="009B58B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CE5081" w:rsidRPr="00CE25CD" w:rsidRDefault="00CE5081" w:rsidP="009B58B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CE5081" w:rsidRPr="00CE25CD" w:rsidRDefault="00CE5081" w:rsidP="009B58B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CE5081" w:rsidRPr="00CE25CD" w:rsidRDefault="00CE5081" w:rsidP="009B58B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CE5081" w:rsidRPr="00CE25CD" w:rsidRDefault="00CE5081" w:rsidP="009B58B2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CE5081" w:rsidRPr="00CE25CD" w:rsidTr="009B58B2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CE5081" w:rsidRPr="00CE25CD" w:rsidRDefault="00CE5081" w:rsidP="009B5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E5081" w:rsidRPr="00CE25CD" w:rsidRDefault="00CE5081" w:rsidP="009B58B2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E5081" w:rsidRPr="00CE25CD" w:rsidRDefault="00CE5081" w:rsidP="009B58B2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CE5081" w:rsidRPr="00CE25CD" w:rsidRDefault="00CE5081" w:rsidP="009B5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E5081" w:rsidRPr="00CE25CD" w:rsidRDefault="00CE5081" w:rsidP="009B5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E5081" w:rsidRPr="00CE25CD" w:rsidRDefault="00CE5081" w:rsidP="009B5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E5081" w:rsidRPr="00CE25CD" w:rsidRDefault="00CE5081" w:rsidP="009B58B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CE5081" w:rsidRPr="00CE25CD" w:rsidRDefault="00CE5081" w:rsidP="009B58B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CE5081" w:rsidRPr="00CE25CD" w:rsidRDefault="00CE5081" w:rsidP="009B58B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CE5081" w:rsidRPr="00CE25CD" w:rsidRDefault="00CE5081" w:rsidP="009B58B2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E5081" w:rsidRPr="00CE25CD" w:rsidRDefault="00CE5081" w:rsidP="009B58B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CE5081" w:rsidRPr="00CE25CD" w:rsidRDefault="00CE5081" w:rsidP="009B58B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CE5081" w:rsidRPr="00CE25CD" w:rsidRDefault="00CE5081" w:rsidP="009B58B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CE5081" w:rsidRPr="00CE25CD" w:rsidRDefault="00CE5081" w:rsidP="009B58B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CE5081" w:rsidRPr="00CE25CD" w:rsidRDefault="00CE5081" w:rsidP="009B58B2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CE5081" w:rsidRPr="00CE25CD" w:rsidTr="009B58B2">
        <w:trPr>
          <w:trHeight w:val="109"/>
        </w:trPr>
        <w:tc>
          <w:tcPr>
            <w:tcW w:w="427" w:type="dxa"/>
            <w:shd w:val="clear" w:color="auto" w:fill="FFFFFF"/>
          </w:tcPr>
          <w:p w:rsidR="00CE5081" w:rsidRPr="00CE25CD" w:rsidRDefault="00CE5081" w:rsidP="009B58B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E5081" w:rsidRPr="00CE25CD" w:rsidRDefault="00CE5081" w:rsidP="009B58B2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E5081" w:rsidRPr="00CE25CD" w:rsidRDefault="00CE5081" w:rsidP="009B58B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CE5081" w:rsidRPr="00CE25CD" w:rsidRDefault="00CE5081" w:rsidP="009B58B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E5081" w:rsidRPr="00CE25CD" w:rsidRDefault="00CE5081" w:rsidP="009B58B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CE5081" w:rsidRPr="00CE25CD" w:rsidRDefault="00CE5081" w:rsidP="009B58B2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CE5081" w:rsidRPr="00CE25CD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CE5081" w:rsidRPr="00CE25CD" w:rsidTr="009B58B2">
        <w:trPr>
          <w:trHeight w:val="360"/>
        </w:trPr>
        <w:tc>
          <w:tcPr>
            <w:tcW w:w="433" w:type="dxa"/>
            <w:gridSpan w:val="2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СИС-К-5</w:t>
            </w:r>
          </w:p>
        </w:tc>
        <w:tc>
          <w:tcPr>
            <w:tcW w:w="2126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D75DF8">
              <w:rPr>
                <w:b/>
                <w:bCs/>
                <w:sz w:val="16"/>
                <w:szCs w:val="16"/>
              </w:rPr>
              <w:t>Нижнезареченская</w:t>
            </w:r>
            <w:proofErr w:type="spellEnd"/>
            <w:r w:rsidRPr="00D75DF8">
              <w:rPr>
                <w:b/>
                <w:bCs/>
                <w:sz w:val="16"/>
                <w:szCs w:val="16"/>
              </w:rPr>
              <w:t xml:space="preserve"> дамба</w:t>
            </w:r>
          </w:p>
        </w:tc>
        <w:tc>
          <w:tcPr>
            <w:tcW w:w="426" w:type="dxa"/>
          </w:tcPr>
          <w:p w:rsidR="00CE5081" w:rsidRPr="00D75DF8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D75DF8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CE5081" w:rsidRPr="00381270" w:rsidRDefault="00CE5081" w:rsidP="009B58B2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(</w:t>
            </w:r>
            <w:r>
              <w:rPr>
                <w:sz w:val="16"/>
                <w:szCs w:val="16"/>
              </w:rPr>
              <w:t>3</w:t>
            </w:r>
            <w:r w:rsidRPr="0038127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3812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E5081" w:rsidRPr="00D75DF8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D75DF8">
              <w:rPr>
                <w:b/>
                <w:bCs/>
                <w:sz w:val="16"/>
                <w:szCs w:val="16"/>
              </w:rPr>
              <w:t>16 635,06</w:t>
            </w:r>
          </w:p>
        </w:tc>
        <w:tc>
          <w:tcPr>
            <w:tcW w:w="992" w:type="dxa"/>
            <w:shd w:val="clear" w:color="auto" w:fill="auto"/>
          </w:tcPr>
          <w:p w:rsidR="00CE5081" w:rsidRPr="00D75DF8" w:rsidRDefault="00CE5081" w:rsidP="009B58B2">
            <w:pPr>
              <w:jc w:val="center"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831,75</w:t>
            </w:r>
          </w:p>
        </w:tc>
        <w:tc>
          <w:tcPr>
            <w:tcW w:w="1134" w:type="dxa"/>
            <w:shd w:val="clear" w:color="auto" w:fill="auto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CE5081" w:rsidRPr="00CE25CD" w:rsidTr="009B58B2">
        <w:trPr>
          <w:trHeight w:val="405"/>
        </w:trPr>
        <w:tc>
          <w:tcPr>
            <w:tcW w:w="433" w:type="dxa"/>
            <w:gridSpan w:val="2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СИС-К-6</w:t>
            </w:r>
          </w:p>
        </w:tc>
        <w:tc>
          <w:tcPr>
            <w:tcW w:w="2126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D75DF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D75DF8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D75DF8">
              <w:rPr>
                <w:b/>
                <w:bCs/>
                <w:sz w:val="16"/>
                <w:szCs w:val="16"/>
              </w:rPr>
              <w:t>алесная</w:t>
            </w:r>
            <w:proofErr w:type="spellEnd"/>
            <w:r w:rsidRPr="00D75DF8">
              <w:rPr>
                <w:b/>
                <w:bCs/>
                <w:sz w:val="16"/>
                <w:szCs w:val="16"/>
              </w:rPr>
              <w:t>, 60</w:t>
            </w:r>
          </w:p>
        </w:tc>
        <w:tc>
          <w:tcPr>
            <w:tcW w:w="426" w:type="dxa"/>
          </w:tcPr>
          <w:p w:rsidR="00CE5081" w:rsidRPr="00D75DF8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D75DF8">
              <w:rPr>
                <w:b/>
                <w:bCs/>
                <w:sz w:val="16"/>
                <w:szCs w:val="16"/>
              </w:rPr>
              <w:t>16:50:300110</w:t>
            </w:r>
          </w:p>
        </w:tc>
        <w:tc>
          <w:tcPr>
            <w:tcW w:w="1134" w:type="dxa"/>
          </w:tcPr>
          <w:p w:rsidR="00CE5081" w:rsidRPr="00381270" w:rsidRDefault="00CE5081" w:rsidP="009B58B2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(</w:t>
            </w:r>
            <w:r>
              <w:rPr>
                <w:sz w:val="16"/>
                <w:szCs w:val="16"/>
              </w:rPr>
              <w:t>3</w:t>
            </w:r>
            <w:r w:rsidRPr="0038127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3812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E5081" w:rsidRPr="00D75DF8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D75DF8">
              <w:rPr>
                <w:b/>
                <w:bCs/>
                <w:sz w:val="16"/>
                <w:szCs w:val="16"/>
              </w:rPr>
              <w:t>18 131,78</w:t>
            </w:r>
          </w:p>
        </w:tc>
        <w:tc>
          <w:tcPr>
            <w:tcW w:w="992" w:type="dxa"/>
            <w:shd w:val="clear" w:color="auto" w:fill="auto"/>
          </w:tcPr>
          <w:p w:rsidR="00CE5081" w:rsidRPr="00D75DF8" w:rsidRDefault="00CE5081" w:rsidP="009B58B2">
            <w:pPr>
              <w:jc w:val="center"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906,59</w:t>
            </w:r>
          </w:p>
        </w:tc>
        <w:tc>
          <w:tcPr>
            <w:tcW w:w="1134" w:type="dxa"/>
            <w:shd w:val="clear" w:color="auto" w:fill="auto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  <w:tr w:rsidR="00CE5081" w:rsidRPr="00CE25CD" w:rsidTr="009B58B2">
        <w:trPr>
          <w:trHeight w:val="477"/>
        </w:trPr>
        <w:tc>
          <w:tcPr>
            <w:tcW w:w="433" w:type="dxa"/>
            <w:gridSpan w:val="2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СИС-С-2</w:t>
            </w:r>
          </w:p>
        </w:tc>
        <w:tc>
          <w:tcPr>
            <w:tcW w:w="2126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D75DF8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D75DF8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D75DF8">
              <w:rPr>
                <w:b/>
                <w:bCs/>
                <w:sz w:val="16"/>
                <w:szCs w:val="16"/>
              </w:rPr>
              <w:t>ира</w:t>
            </w:r>
            <w:proofErr w:type="spellEnd"/>
            <w:r w:rsidRPr="00D75DF8">
              <w:rPr>
                <w:b/>
                <w:bCs/>
                <w:sz w:val="16"/>
                <w:szCs w:val="16"/>
              </w:rPr>
              <w:t>, 45а</w:t>
            </w:r>
          </w:p>
        </w:tc>
        <w:tc>
          <w:tcPr>
            <w:tcW w:w="426" w:type="dxa"/>
          </w:tcPr>
          <w:p w:rsidR="00CE5081" w:rsidRPr="00D75DF8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E5081" w:rsidRPr="00D75DF8" w:rsidRDefault="00CE5081" w:rsidP="009B58B2">
            <w:pPr>
              <w:suppressAutoHyphens/>
              <w:rPr>
                <w:b/>
                <w:bCs/>
                <w:sz w:val="16"/>
                <w:szCs w:val="16"/>
              </w:rPr>
            </w:pPr>
            <w:r w:rsidRPr="00D75DF8">
              <w:rPr>
                <w:b/>
                <w:bCs/>
                <w:sz w:val="16"/>
                <w:szCs w:val="16"/>
              </w:rPr>
              <w:t>16:50:250228</w:t>
            </w:r>
          </w:p>
        </w:tc>
        <w:tc>
          <w:tcPr>
            <w:tcW w:w="1134" w:type="dxa"/>
          </w:tcPr>
          <w:p w:rsidR="00CE5081" w:rsidRPr="00381270" w:rsidRDefault="00CE5081" w:rsidP="009B58B2">
            <w:pPr>
              <w:suppressAutoHyphens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1 период  (</w:t>
            </w:r>
            <w:r>
              <w:rPr>
                <w:sz w:val="16"/>
                <w:szCs w:val="16"/>
              </w:rPr>
              <w:t>3</w:t>
            </w:r>
            <w:r w:rsidRPr="0038127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3812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E5081" w:rsidRPr="00D75DF8" w:rsidRDefault="00CE5081" w:rsidP="009B58B2">
            <w:pPr>
              <w:jc w:val="center"/>
              <w:rPr>
                <w:b/>
                <w:bCs/>
                <w:sz w:val="16"/>
                <w:szCs w:val="16"/>
              </w:rPr>
            </w:pPr>
            <w:r w:rsidRPr="00D75DF8">
              <w:rPr>
                <w:b/>
                <w:bCs/>
                <w:sz w:val="16"/>
                <w:szCs w:val="16"/>
              </w:rPr>
              <w:t>10 175,50</w:t>
            </w:r>
          </w:p>
        </w:tc>
        <w:tc>
          <w:tcPr>
            <w:tcW w:w="992" w:type="dxa"/>
            <w:shd w:val="clear" w:color="auto" w:fill="auto"/>
          </w:tcPr>
          <w:p w:rsidR="00CE5081" w:rsidRPr="00D75DF8" w:rsidRDefault="00CE5081" w:rsidP="009B58B2">
            <w:pPr>
              <w:jc w:val="center"/>
              <w:rPr>
                <w:sz w:val="16"/>
                <w:szCs w:val="16"/>
              </w:rPr>
            </w:pPr>
            <w:r w:rsidRPr="00D75DF8">
              <w:rPr>
                <w:sz w:val="16"/>
                <w:szCs w:val="16"/>
              </w:rPr>
              <w:t>508,78</w:t>
            </w:r>
          </w:p>
        </w:tc>
        <w:tc>
          <w:tcPr>
            <w:tcW w:w="1134" w:type="dxa"/>
            <w:shd w:val="clear" w:color="auto" w:fill="auto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CE5081" w:rsidRPr="00381270" w:rsidRDefault="00CE5081" w:rsidP="009B58B2">
            <w:pPr>
              <w:suppressAutoHyphens/>
              <w:jc w:val="center"/>
              <w:rPr>
                <w:sz w:val="16"/>
                <w:szCs w:val="16"/>
              </w:rPr>
            </w:pPr>
            <w:r w:rsidRPr="00381270">
              <w:rPr>
                <w:sz w:val="16"/>
                <w:szCs w:val="16"/>
              </w:rPr>
              <w:t>2 000,00</w:t>
            </w:r>
          </w:p>
        </w:tc>
      </w:tr>
    </w:tbl>
    <w:p w:rsidR="00932584" w:rsidRPr="00932584" w:rsidRDefault="0093258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C50274" w:rsidRPr="00C50274" w:rsidRDefault="00C50274" w:rsidP="00C50274">
      <w:pPr>
        <w:ind w:firstLine="284"/>
        <w:jc w:val="both"/>
        <w:rPr>
          <w:sz w:val="18"/>
          <w:szCs w:val="18"/>
        </w:rPr>
      </w:pPr>
      <w:r w:rsidRPr="00C50274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C50274">
        <w:rPr>
          <w:sz w:val="18"/>
          <w:szCs w:val="18"/>
        </w:rPr>
        <w:t>а</w:t>
      </w:r>
      <w:r w:rsidRPr="00C50274">
        <w:rPr>
          <w:sz w:val="18"/>
          <w:szCs w:val="18"/>
        </w:rPr>
        <w:t>тельные передвижные комплексы и аттракционы.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CE5081">
        <w:rPr>
          <w:sz w:val="18"/>
          <w:szCs w:val="18"/>
        </w:rPr>
        <w:t>я</w:t>
      </w:r>
      <w:r w:rsidR="002B79F4">
        <w:rPr>
          <w:sz w:val="18"/>
          <w:szCs w:val="18"/>
        </w:rPr>
        <w:t>м</w:t>
      </w:r>
      <w:r w:rsidR="00CE5081">
        <w:rPr>
          <w:sz w:val="18"/>
          <w:szCs w:val="18"/>
        </w:rPr>
        <w:t>и</w:t>
      </w:r>
      <w:r w:rsidR="002B79F4">
        <w:rPr>
          <w:sz w:val="18"/>
          <w:szCs w:val="18"/>
        </w:rPr>
        <w:t xml:space="preserve">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CE5081">
        <w:rPr>
          <w:sz w:val="18"/>
          <w:szCs w:val="18"/>
        </w:rPr>
        <w:t xml:space="preserve"> и от 10.05.2017 №1681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</w:t>
      </w:r>
      <w:r w:rsidR="005B7D86">
        <w:rPr>
          <w:sz w:val="18"/>
          <w:szCs w:val="18"/>
        </w:rPr>
        <w:t>н</w:t>
      </w:r>
      <w:r w:rsidR="005B7D86">
        <w:rPr>
          <w:sz w:val="18"/>
          <w:szCs w:val="18"/>
        </w:rPr>
        <w:t>вентаря и снаряжения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</w:t>
      </w:r>
      <w:r w:rsidRPr="00096BEF">
        <w:rPr>
          <w:sz w:val="18"/>
          <w:szCs w:val="18"/>
        </w:rPr>
        <w:t>н</w:t>
      </w:r>
      <w:r w:rsidRPr="00096BEF">
        <w:rPr>
          <w:sz w:val="18"/>
          <w:szCs w:val="18"/>
        </w:rPr>
        <w:t>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>торговая точка по реализации</w:t>
      </w:r>
      <w:r w:rsidR="00376D8E" w:rsidRPr="00376D8E">
        <w:rPr>
          <w:sz w:val="18"/>
          <w:szCs w:val="18"/>
        </w:rPr>
        <w:t xml:space="preserve"> объе</w:t>
      </w:r>
      <w:r w:rsidR="00376D8E" w:rsidRPr="00376D8E">
        <w:rPr>
          <w:sz w:val="18"/>
          <w:szCs w:val="18"/>
        </w:rPr>
        <w:t>к</w:t>
      </w:r>
      <w:r w:rsidR="00376D8E" w:rsidRPr="00376D8E">
        <w:rPr>
          <w:sz w:val="18"/>
          <w:szCs w:val="18"/>
        </w:rPr>
        <w:t xml:space="preserve">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lastRenderedPageBreak/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7253F8">
        <w:rPr>
          <w:b/>
          <w:sz w:val="18"/>
          <w:szCs w:val="18"/>
        </w:rPr>
        <w:t>6</w:t>
      </w:r>
      <w:r w:rsidR="005B7D86">
        <w:rPr>
          <w:b/>
          <w:sz w:val="18"/>
          <w:szCs w:val="18"/>
        </w:rPr>
        <w:t>1</w:t>
      </w:r>
      <w:r w:rsidR="00932584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5B7D86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932584">
        <w:rPr>
          <w:sz w:val="18"/>
          <w:szCs w:val="18"/>
        </w:rPr>
        <w:t>;</w:t>
      </w:r>
    </w:p>
    <w:p w:rsidR="00C2558F" w:rsidRPr="005E7D8A" w:rsidRDefault="00932584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</w:t>
      </w:r>
      <w:r w:rsidRPr="008B5F2E">
        <w:rPr>
          <w:sz w:val="18"/>
          <w:szCs w:val="18"/>
        </w:rPr>
        <w:lastRenderedPageBreak/>
        <w:t>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bookmarkStart w:id="1" w:name="_GoBack"/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932584">
        <w:rPr>
          <w:b/>
          <w:spacing w:val="4"/>
          <w:sz w:val="18"/>
          <w:szCs w:val="18"/>
        </w:rPr>
        <w:t>3</w:t>
      </w:r>
      <w:r w:rsidR="007253F8">
        <w:rPr>
          <w:b/>
          <w:spacing w:val="4"/>
          <w:sz w:val="18"/>
          <w:szCs w:val="18"/>
        </w:rPr>
        <w:t>1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253F8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932584">
        <w:rPr>
          <w:b/>
          <w:spacing w:val="4"/>
          <w:sz w:val="18"/>
          <w:szCs w:val="18"/>
        </w:rPr>
        <w:t>14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7253F8">
        <w:rPr>
          <w:b/>
          <w:spacing w:val="4"/>
          <w:sz w:val="18"/>
          <w:szCs w:val="18"/>
        </w:rPr>
        <w:t>6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A85655">
        <w:rPr>
          <w:b/>
          <w:spacing w:val="4"/>
          <w:sz w:val="18"/>
          <w:szCs w:val="18"/>
        </w:rPr>
        <w:t>1</w:t>
      </w:r>
      <w:r w:rsidR="00932584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7253F8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932584">
        <w:rPr>
          <w:b/>
          <w:spacing w:val="4"/>
          <w:sz w:val="18"/>
          <w:szCs w:val="18"/>
        </w:rPr>
        <w:t>2</w:t>
      </w:r>
      <w:r w:rsidR="007253F8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7253F8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</w:t>
      </w:r>
      <w:r w:rsidR="007253F8">
        <w:rPr>
          <w:b/>
          <w:spacing w:val="4"/>
          <w:sz w:val="18"/>
          <w:szCs w:val="18"/>
        </w:rPr>
        <w:t xml:space="preserve">три месяца </w:t>
      </w:r>
      <w:proofErr w:type="gramStart"/>
      <w:r w:rsidR="007253F8">
        <w:rPr>
          <w:b/>
          <w:spacing w:val="4"/>
          <w:sz w:val="18"/>
          <w:szCs w:val="18"/>
        </w:rPr>
        <w:t>с даты заключения</w:t>
      </w:r>
      <w:proofErr w:type="gramEnd"/>
      <w:r w:rsidR="007253F8">
        <w:rPr>
          <w:b/>
          <w:spacing w:val="4"/>
          <w:sz w:val="18"/>
          <w:szCs w:val="18"/>
        </w:rPr>
        <w:t xml:space="preserve"> договора</w:t>
      </w:r>
      <w:r>
        <w:rPr>
          <w:b/>
          <w:spacing w:val="4"/>
          <w:sz w:val="18"/>
          <w:szCs w:val="18"/>
        </w:rPr>
        <w:t>.</w:t>
      </w:r>
    </w:p>
    <w:bookmarkEnd w:id="1"/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lastRenderedPageBreak/>
        <w:t xml:space="preserve">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объектов по предоставлению услуг </w:t>
      </w:r>
      <w:r w:rsidR="005B7D86">
        <w:rPr>
          <w:sz w:val="18"/>
          <w:szCs w:val="18"/>
        </w:rPr>
        <w:t>по прокату и продаже спортивного инвентаря и снаряжения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932584" w:rsidRPr="00777E8C" w:rsidRDefault="00932584" w:rsidP="0093258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0D" w:rsidRDefault="0065230D">
      <w:r>
        <w:separator/>
      </w:r>
    </w:p>
  </w:endnote>
  <w:endnote w:type="continuationSeparator" w:id="0">
    <w:p w:rsidR="0065230D" w:rsidRDefault="0065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0D" w:rsidRDefault="0065230D">
      <w:r>
        <w:separator/>
      </w:r>
    </w:p>
  </w:footnote>
  <w:footnote w:type="continuationSeparator" w:id="0">
    <w:p w:rsidR="0065230D" w:rsidRDefault="00652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53F8">
      <w:rPr>
        <w:rStyle w:val="a9"/>
        <w:noProof/>
      </w:rPr>
      <w:t>5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FF2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96B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230D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3F8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2584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B7D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081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8422-9406-4D76-9085-1E57E274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31222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8</cp:revision>
  <cp:lastPrinted>2015-12-30T08:21:00Z</cp:lastPrinted>
  <dcterms:created xsi:type="dcterms:W3CDTF">2017-02-16T10:19:00Z</dcterms:created>
  <dcterms:modified xsi:type="dcterms:W3CDTF">2017-05-30T10:48:00Z</dcterms:modified>
</cp:coreProperties>
</file>