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A33F77" w:rsidRPr="00A33F77">
        <w:rPr>
          <w:sz w:val="22"/>
          <w:szCs w:val="22"/>
        </w:rPr>
        <w:t>1</w:t>
      </w:r>
      <w:r w:rsidR="00F23FB4" w:rsidRPr="00F23FB4">
        <w:rPr>
          <w:sz w:val="22"/>
          <w:szCs w:val="22"/>
        </w:rPr>
        <w:t>6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A33F77" w:rsidRPr="00A33F77">
        <w:rPr>
          <w:sz w:val="22"/>
          <w:szCs w:val="22"/>
        </w:rPr>
        <w:t>3</w:t>
      </w:r>
      <w:r w:rsidR="00F23FB4" w:rsidRPr="00F23FB4">
        <w:rPr>
          <w:sz w:val="22"/>
          <w:szCs w:val="22"/>
        </w:rPr>
        <w:t>3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F23FB4" w:rsidRPr="00F23FB4">
        <w:rPr>
          <w:b/>
          <w:sz w:val="22"/>
          <w:szCs w:val="22"/>
        </w:rPr>
        <w:t>04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F23FB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 xml:space="preserve">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>торг</w:t>
      </w:r>
      <w:r w:rsidR="00BE5A46">
        <w:rPr>
          <w:sz w:val="22"/>
          <w:szCs w:val="22"/>
        </w:rPr>
        <w:t>о</w:t>
      </w:r>
      <w:r w:rsidR="00BE5A46">
        <w:rPr>
          <w:sz w:val="22"/>
          <w:szCs w:val="22"/>
        </w:rPr>
        <w:t xml:space="preserve">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D357E3" w:rsidRPr="00CE25CD" w:rsidTr="00FF5247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D357E3" w:rsidRPr="00CE25CD" w:rsidRDefault="00D357E3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357E3" w:rsidRPr="00CE25CD" w:rsidRDefault="00D357E3" w:rsidP="00FF5247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D357E3" w:rsidRPr="00CE25CD" w:rsidRDefault="00D357E3" w:rsidP="00FF5247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D357E3" w:rsidRPr="00CE25CD" w:rsidRDefault="00D357E3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D357E3" w:rsidRPr="00CE25CD" w:rsidRDefault="00D357E3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D357E3" w:rsidRPr="00CE25CD" w:rsidRDefault="00D357E3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57E3" w:rsidRPr="00CE25CD" w:rsidRDefault="00D357E3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D357E3" w:rsidRPr="00CE25CD" w:rsidRDefault="00D357E3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D357E3" w:rsidRPr="00CE25CD" w:rsidRDefault="00D357E3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D357E3" w:rsidRPr="00CE25CD" w:rsidRDefault="00D357E3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D357E3" w:rsidRPr="00CE25CD" w:rsidRDefault="00D357E3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D357E3" w:rsidRPr="00CE25CD" w:rsidTr="00FF5247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D357E3" w:rsidRPr="00CE25CD" w:rsidRDefault="00D357E3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357E3" w:rsidRPr="00CE25CD" w:rsidRDefault="00D357E3" w:rsidP="00FF5247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57E3" w:rsidRPr="00CE25CD" w:rsidRDefault="00D357E3" w:rsidP="00FF5247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357E3" w:rsidRPr="00CE25CD" w:rsidRDefault="00D357E3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357E3" w:rsidRPr="00CE25CD" w:rsidRDefault="00D357E3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357E3" w:rsidRPr="00CE25CD" w:rsidRDefault="00D357E3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D357E3" w:rsidRPr="00CE25CD" w:rsidRDefault="00D357E3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D357E3" w:rsidRPr="00CE25CD" w:rsidRDefault="00D357E3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D357E3" w:rsidRPr="00CE25CD" w:rsidRDefault="00D357E3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7E3" w:rsidRPr="00CE25CD" w:rsidRDefault="00D357E3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D357E3" w:rsidRPr="00CE25CD" w:rsidRDefault="00D357E3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D357E3" w:rsidRPr="00CE25CD" w:rsidRDefault="00D357E3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D357E3" w:rsidRPr="00CE25CD" w:rsidRDefault="00D357E3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D357E3" w:rsidRPr="00CE25CD" w:rsidRDefault="00D357E3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D357E3" w:rsidRPr="00CE25CD" w:rsidTr="00FF5247">
        <w:trPr>
          <w:trHeight w:val="109"/>
        </w:trPr>
        <w:tc>
          <w:tcPr>
            <w:tcW w:w="427" w:type="dxa"/>
            <w:shd w:val="clear" w:color="auto" w:fill="FFFFFF"/>
          </w:tcPr>
          <w:p w:rsidR="00D357E3" w:rsidRPr="00CE25CD" w:rsidRDefault="00D357E3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57E3" w:rsidRPr="00CE25CD" w:rsidRDefault="00D357E3" w:rsidP="00FF5247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357E3" w:rsidRPr="00CE25CD" w:rsidRDefault="00D357E3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D357E3" w:rsidRPr="00CE25CD" w:rsidRDefault="00D357E3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D357E3" w:rsidRPr="00CE25CD" w:rsidRDefault="00D357E3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D357E3" w:rsidRPr="00CE25CD" w:rsidRDefault="00D357E3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357E3" w:rsidRPr="00CE25CD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БР-С-20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осмонавтов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51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16:50:050151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21 212,72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1 060,64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405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БР-С-21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урчатова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16:50:060508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20 232,00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1 011,60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455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БР-С-22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атышских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Стрелков, 3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16:50:060508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20 232,00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1 011,60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БР-С-23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атышских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Стрелков, 4а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16:50:060506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20 926,49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1 046,32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БР-С-24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омжинская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16:50:150105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20 398,69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1 019,93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БР-С-25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амадышский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Тракт, 60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16:50:260401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БР-С-26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инская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36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16:50:150103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19 563,05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978,15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БР-С-27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ира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1а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16:50:250231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20 085,31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1 004,27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БР-С-28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арковая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5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16:50:250227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20 217,37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1 010,87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БР-С-29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ионерская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10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16:50:050124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21 184,36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1 059,22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БР-С-30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ибирский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Тракт, 34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16:50:050202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21 086,31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1 054,32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БР-С-31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Ул.Х.Бигичева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2а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16:50:150304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20 254,99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1 012,75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БР-С-33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алезова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2а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16:50:250262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19 201,00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960,05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БР-С-34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алезова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8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16:50:250262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19 201,00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960,05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БР-С-35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алезова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16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16:50:250263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19 398,78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969,94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БР-С-36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96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16:50:150102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20 414,26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1 020,71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БР-С-37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131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16:50:150105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20 398,69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1 019,93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БР-С-38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145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16:50:150101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20 626,76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1 031,34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D357E3" w:rsidRPr="00CE25CD" w:rsidTr="00FF5247">
        <w:trPr>
          <w:trHeight w:val="360"/>
        </w:trPr>
        <w:tc>
          <w:tcPr>
            <w:tcW w:w="433" w:type="dxa"/>
            <w:gridSpan w:val="2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D357E3" w:rsidRPr="006B2616" w:rsidRDefault="00D357E3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БР-С-39</w:t>
            </w:r>
          </w:p>
        </w:tc>
        <w:tc>
          <w:tcPr>
            <w:tcW w:w="2126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амадышский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Тракт, 44</w:t>
            </w:r>
          </w:p>
        </w:tc>
        <w:tc>
          <w:tcPr>
            <w:tcW w:w="426" w:type="dxa"/>
          </w:tcPr>
          <w:p w:rsidR="00D357E3" w:rsidRPr="006B2616" w:rsidRDefault="00D357E3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57E3" w:rsidRPr="006B2616" w:rsidRDefault="00D357E3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16:50:260401</w:t>
            </w:r>
          </w:p>
        </w:tc>
        <w:tc>
          <w:tcPr>
            <w:tcW w:w="1134" w:type="dxa"/>
          </w:tcPr>
          <w:p w:rsidR="00D357E3" w:rsidRPr="00B45980" w:rsidRDefault="00D357E3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D357E3" w:rsidRPr="006B2616" w:rsidRDefault="00D357E3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D357E3" w:rsidRPr="00B45980" w:rsidRDefault="00D357E3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357E3" w:rsidRPr="00B45980" w:rsidRDefault="00D357E3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lastRenderedPageBreak/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D357E3">
        <w:rPr>
          <w:b/>
          <w:sz w:val="18"/>
          <w:szCs w:val="18"/>
        </w:rPr>
        <w:t>404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Заявитель - индивидуальный предприниматель или юридическое лицо независимо от организационно-правовой формы, формы </w:t>
      </w:r>
      <w:r w:rsidRPr="003106B1">
        <w:rPr>
          <w:sz w:val="18"/>
          <w:szCs w:val="18"/>
        </w:rPr>
        <w:lastRenderedPageBreak/>
        <w:t>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33F77" w:rsidRPr="00A33F77">
        <w:rPr>
          <w:b/>
          <w:spacing w:val="4"/>
          <w:sz w:val="18"/>
          <w:szCs w:val="18"/>
        </w:rPr>
        <w:t>1</w:t>
      </w:r>
      <w:r w:rsidR="00D4129C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D4129C">
        <w:rPr>
          <w:b/>
          <w:spacing w:val="4"/>
          <w:sz w:val="18"/>
          <w:szCs w:val="18"/>
        </w:rPr>
        <w:t>30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4129C">
        <w:rPr>
          <w:b/>
          <w:spacing w:val="4"/>
          <w:sz w:val="18"/>
          <w:szCs w:val="18"/>
        </w:rPr>
        <w:t>04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A33F77" w:rsidRPr="00A33F77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  <w:bookmarkStart w:id="1" w:name="_GoBack"/>
      <w:bookmarkEnd w:id="1"/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lastRenderedPageBreak/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129C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4401-8B50-4D9D-805A-2BC4923C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4884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32658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2017-03-16T09:56:00Z</dcterms:created>
  <dcterms:modified xsi:type="dcterms:W3CDTF">2017-03-16T09:56:00Z</dcterms:modified>
</cp:coreProperties>
</file>