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9B0C3D">
        <w:rPr>
          <w:sz w:val="22"/>
          <w:szCs w:val="22"/>
        </w:rPr>
        <w:t>0</w:t>
      </w:r>
      <w:r w:rsidR="00D342D5">
        <w:rPr>
          <w:sz w:val="22"/>
          <w:szCs w:val="22"/>
        </w:rPr>
        <w:t>9</w:t>
      </w:r>
      <w:r w:rsidR="00BF264D">
        <w:rPr>
          <w:sz w:val="22"/>
          <w:szCs w:val="22"/>
        </w:rPr>
        <w:t>.0</w:t>
      </w:r>
      <w:r w:rsidR="009B0C3D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B773F7">
        <w:rPr>
          <w:sz w:val="22"/>
          <w:szCs w:val="22"/>
        </w:rPr>
        <w:t>29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9B0C3D">
        <w:rPr>
          <w:b/>
          <w:sz w:val="22"/>
          <w:szCs w:val="22"/>
        </w:rPr>
        <w:t>2</w:t>
      </w:r>
      <w:r w:rsidR="00D342D5">
        <w:rPr>
          <w:b/>
          <w:sz w:val="22"/>
          <w:szCs w:val="22"/>
        </w:rPr>
        <w:t>8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9B0C3D">
        <w:rPr>
          <w:sz w:val="22"/>
          <w:szCs w:val="22"/>
        </w:rPr>
        <w:t>три года</w:t>
      </w:r>
      <w:r w:rsidR="00B62336">
        <w:rPr>
          <w:sz w:val="22"/>
          <w:szCs w:val="22"/>
        </w:rPr>
        <w:t xml:space="preserve"> </w:t>
      </w:r>
      <w:r w:rsidR="00D342D5">
        <w:rPr>
          <w:sz w:val="22"/>
          <w:szCs w:val="22"/>
        </w:rPr>
        <w:t>(с размещением в течении сезона с ко</w:t>
      </w:r>
      <w:r w:rsidR="00D342D5">
        <w:rPr>
          <w:sz w:val="22"/>
          <w:szCs w:val="22"/>
        </w:rPr>
        <w:t>н</w:t>
      </w:r>
      <w:r w:rsidR="00D342D5">
        <w:rPr>
          <w:sz w:val="22"/>
          <w:szCs w:val="22"/>
        </w:rPr>
        <w:t>сервацией)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1985"/>
        <w:gridCol w:w="567"/>
        <w:gridCol w:w="1134"/>
        <w:gridCol w:w="1134"/>
        <w:gridCol w:w="992"/>
        <w:gridCol w:w="992"/>
        <w:gridCol w:w="1134"/>
        <w:gridCol w:w="992"/>
      </w:tblGrid>
      <w:tr w:rsidR="00B21B5A" w:rsidRPr="00CE25CD" w:rsidTr="00B908A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21B5A" w:rsidRPr="00CE25CD" w:rsidRDefault="00B21B5A" w:rsidP="00B908A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21B5A" w:rsidRPr="00CE25CD" w:rsidRDefault="00B21B5A" w:rsidP="00B908A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21B5A" w:rsidRPr="00CE25CD" w:rsidRDefault="00B21B5A" w:rsidP="00B908A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21B5A" w:rsidRPr="00CE25CD" w:rsidRDefault="00B21B5A" w:rsidP="00B908A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21B5A" w:rsidRDefault="00B21B5A" w:rsidP="00B908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>ная) сто</w:t>
            </w:r>
            <w:r w:rsidRPr="00CE25CD">
              <w:rPr>
                <w:b/>
                <w:bCs/>
                <w:sz w:val="16"/>
                <w:szCs w:val="16"/>
              </w:rPr>
              <w:t>и</w:t>
            </w:r>
            <w:r w:rsidRPr="00CE25CD">
              <w:rPr>
                <w:b/>
                <w:bCs/>
                <w:sz w:val="16"/>
                <w:szCs w:val="16"/>
              </w:rPr>
              <w:t>мость права за 1 сезон</w:t>
            </w:r>
            <w:r>
              <w:rPr>
                <w:b/>
                <w:bCs/>
                <w:sz w:val="16"/>
                <w:szCs w:val="16"/>
              </w:rPr>
              <w:t xml:space="preserve">, в </w:t>
            </w:r>
            <w:proofErr w:type="spellStart"/>
            <w:r>
              <w:rPr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B21B5A" w:rsidRPr="00CE25CD" w:rsidRDefault="00B21B5A" w:rsidP="00B908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консервация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21B5A" w:rsidRPr="00CE25CD" w:rsidRDefault="00B21B5A" w:rsidP="00B908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1B5A" w:rsidRPr="00CE25CD" w:rsidRDefault="00B21B5A" w:rsidP="00B908A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21B5A" w:rsidRPr="00CE25CD" w:rsidRDefault="00B21B5A" w:rsidP="00B908A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21B5A" w:rsidRPr="00CE25CD" w:rsidRDefault="00B21B5A" w:rsidP="00B908A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B21B5A" w:rsidRPr="00CE25CD" w:rsidRDefault="00B21B5A" w:rsidP="00B908A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21B5A" w:rsidRPr="00CE25CD" w:rsidRDefault="00B21B5A" w:rsidP="00B908A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21B5A" w:rsidRPr="00CE25CD" w:rsidTr="00B908A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21B5A" w:rsidRPr="00CE25CD" w:rsidRDefault="00B21B5A" w:rsidP="00B908A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21B5A" w:rsidRPr="00CE25CD" w:rsidRDefault="00B21B5A" w:rsidP="00B908A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21B5A" w:rsidRPr="00CE25CD" w:rsidRDefault="00B21B5A" w:rsidP="00B90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21B5A" w:rsidRPr="00CE25CD" w:rsidRDefault="00B21B5A" w:rsidP="00B908A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B21B5A" w:rsidRPr="00CE25CD" w:rsidRDefault="00B21B5A" w:rsidP="00B908A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21B5A" w:rsidRPr="00CE25CD" w:rsidRDefault="00B21B5A" w:rsidP="00B908A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B5A" w:rsidRPr="00CE25CD" w:rsidRDefault="00B21B5A" w:rsidP="00B908A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21B5A" w:rsidRPr="00CE25CD" w:rsidRDefault="00B21B5A" w:rsidP="00B908A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21B5A" w:rsidRPr="00CE25CD" w:rsidRDefault="00B21B5A" w:rsidP="00B908A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B21B5A" w:rsidRPr="00CE25CD" w:rsidRDefault="00B21B5A" w:rsidP="00B908A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21B5A" w:rsidRPr="00CE25CD" w:rsidRDefault="00B21B5A" w:rsidP="00B908A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21B5A" w:rsidRPr="00CE25CD" w:rsidTr="00B908A5">
        <w:trPr>
          <w:trHeight w:val="109"/>
        </w:trPr>
        <w:tc>
          <w:tcPr>
            <w:tcW w:w="427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21B5A" w:rsidRPr="00CE25CD" w:rsidRDefault="00B21B5A" w:rsidP="00B908A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21B5A" w:rsidRPr="00CE25CD" w:rsidRDefault="00B21B5A" w:rsidP="00B908A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21B5A" w:rsidRPr="00CE25CD" w:rsidRDefault="00B21B5A" w:rsidP="00B908A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21B5A" w:rsidRPr="00CE25CD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21B5A" w:rsidRPr="00CE25CD" w:rsidTr="00B908A5">
        <w:trPr>
          <w:trHeight w:val="360"/>
        </w:trPr>
        <w:tc>
          <w:tcPr>
            <w:tcW w:w="433" w:type="dxa"/>
            <w:gridSpan w:val="2"/>
          </w:tcPr>
          <w:p w:rsidR="00B21B5A" w:rsidRPr="00775E8E" w:rsidRDefault="00B21B5A" w:rsidP="00B908A5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21B5A" w:rsidRPr="00DC11C7" w:rsidRDefault="00B21B5A" w:rsidP="00B908A5">
            <w:pPr>
              <w:jc w:val="both"/>
              <w:rPr>
                <w:sz w:val="16"/>
                <w:szCs w:val="16"/>
              </w:rPr>
            </w:pPr>
            <w:r w:rsidRPr="00DC11C7">
              <w:rPr>
                <w:sz w:val="16"/>
                <w:szCs w:val="16"/>
              </w:rPr>
              <w:t>СК-В-1</w:t>
            </w:r>
          </w:p>
        </w:tc>
        <w:tc>
          <w:tcPr>
            <w:tcW w:w="1985" w:type="dxa"/>
            <w:shd w:val="clear" w:color="auto" w:fill="auto"/>
          </w:tcPr>
          <w:p w:rsidR="00B21B5A" w:rsidRPr="00DC11C7" w:rsidRDefault="00B21B5A" w:rsidP="00B908A5">
            <w:pPr>
              <w:rPr>
                <w:b/>
                <w:bCs/>
                <w:sz w:val="16"/>
                <w:szCs w:val="16"/>
              </w:rPr>
            </w:pPr>
            <w:r w:rsidRPr="00DC11C7">
              <w:rPr>
                <w:b/>
                <w:bCs/>
                <w:sz w:val="16"/>
                <w:szCs w:val="16"/>
              </w:rPr>
              <w:t>Парк 1000-летия, вбл</w:t>
            </w:r>
            <w:r w:rsidRPr="00DC11C7">
              <w:rPr>
                <w:b/>
                <w:bCs/>
                <w:sz w:val="16"/>
                <w:szCs w:val="16"/>
              </w:rPr>
              <w:t>и</w:t>
            </w:r>
            <w:r w:rsidRPr="00DC11C7">
              <w:rPr>
                <w:b/>
                <w:bCs/>
                <w:sz w:val="16"/>
                <w:szCs w:val="16"/>
              </w:rPr>
              <w:t xml:space="preserve">зи дома №1а по </w:t>
            </w:r>
            <w:proofErr w:type="spellStart"/>
            <w:r w:rsidRPr="00DC11C7">
              <w:rPr>
                <w:b/>
                <w:bCs/>
                <w:sz w:val="16"/>
                <w:szCs w:val="16"/>
              </w:rPr>
              <w:t>ул.М.Салимжанова</w:t>
            </w:r>
            <w:proofErr w:type="spellEnd"/>
          </w:p>
        </w:tc>
        <w:tc>
          <w:tcPr>
            <w:tcW w:w="567" w:type="dxa"/>
          </w:tcPr>
          <w:p w:rsidR="00B21B5A" w:rsidRPr="00DC11C7" w:rsidRDefault="00B21B5A" w:rsidP="00B908A5">
            <w:pPr>
              <w:jc w:val="center"/>
              <w:rPr>
                <w:sz w:val="16"/>
                <w:szCs w:val="16"/>
              </w:rPr>
            </w:pPr>
            <w:r w:rsidRPr="00DC11C7">
              <w:rPr>
                <w:sz w:val="16"/>
                <w:szCs w:val="16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B21B5A" w:rsidRPr="00DC11C7" w:rsidRDefault="00B21B5A" w:rsidP="00B908A5">
            <w:pPr>
              <w:rPr>
                <w:b/>
                <w:bCs/>
                <w:sz w:val="16"/>
                <w:szCs w:val="16"/>
              </w:rPr>
            </w:pPr>
            <w:r w:rsidRPr="00DC11C7">
              <w:rPr>
                <w:b/>
                <w:bCs/>
                <w:sz w:val="16"/>
                <w:szCs w:val="16"/>
              </w:rPr>
              <w:t>16:50:011506</w:t>
            </w:r>
          </w:p>
        </w:tc>
        <w:tc>
          <w:tcPr>
            <w:tcW w:w="1134" w:type="dxa"/>
          </w:tcPr>
          <w:p w:rsidR="00B21B5A" w:rsidRPr="00775E8E" w:rsidRDefault="00B21B5A" w:rsidP="00B908A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 xml:space="preserve">а </w:t>
            </w:r>
            <w:r w:rsidRPr="00775E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  <w:lang w:val="en-US"/>
              </w:rPr>
              <w:t>3</w:t>
            </w:r>
            <w:r w:rsidRPr="00775E8E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775E8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21B5A" w:rsidRPr="00A62F66" w:rsidRDefault="00B21B5A" w:rsidP="00B908A5">
            <w:pPr>
              <w:jc w:val="center"/>
              <w:rPr>
                <w:b/>
                <w:bCs/>
                <w:sz w:val="16"/>
                <w:szCs w:val="16"/>
              </w:rPr>
            </w:pPr>
            <w:r w:rsidRPr="00A62F66">
              <w:rPr>
                <w:b/>
                <w:bCs/>
                <w:sz w:val="16"/>
                <w:szCs w:val="16"/>
              </w:rPr>
              <w:t>407 942,24</w:t>
            </w:r>
          </w:p>
        </w:tc>
        <w:tc>
          <w:tcPr>
            <w:tcW w:w="992" w:type="dxa"/>
            <w:shd w:val="clear" w:color="auto" w:fill="auto"/>
          </w:tcPr>
          <w:p w:rsidR="00B21B5A" w:rsidRPr="00A62F66" w:rsidRDefault="00B21B5A" w:rsidP="00B908A5">
            <w:pPr>
              <w:jc w:val="center"/>
              <w:rPr>
                <w:sz w:val="16"/>
                <w:szCs w:val="16"/>
              </w:rPr>
            </w:pPr>
            <w:r w:rsidRPr="00A62F66">
              <w:rPr>
                <w:sz w:val="16"/>
                <w:szCs w:val="16"/>
              </w:rPr>
              <w:t>20 397,11</w:t>
            </w:r>
          </w:p>
        </w:tc>
        <w:tc>
          <w:tcPr>
            <w:tcW w:w="1134" w:type="dxa"/>
            <w:shd w:val="clear" w:color="auto" w:fill="auto"/>
          </w:tcPr>
          <w:p w:rsidR="00B21B5A" w:rsidRPr="00A62F66" w:rsidRDefault="00B21B5A" w:rsidP="00B908A5">
            <w:pPr>
              <w:jc w:val="center"/>
              <w:rPr>
                <w:sz w:val="16"/>
                <w:szCs w:val="16"/>
              </w:rPr>
            </w:pPr>
            <w:r w:rsidRPr="00A62F66">
              <w:rPr>
                <w:sz w:val="16"/>
                <w:szCs w:val="16"/>
              </w:rPr>
              <w:t>407 942,24</w:t>
            </w:r>
          </w:p>
        </w:tc>
        <w:tc>
          <w:tcPr>
            <w:tcW w:w="992" w:type="dxa"/>
            <w:shd w:val="clear" w:color="auto" w:fill="auto"/>
          </w:tcPr>
          <w:p w:rsidR="00B21B5A" w:rsidRPr="00775E8E" w:rsidRDefault="00B21B5A" w:rsidP="00B908A5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4A31FB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4A31FB">
        <w:rPr>
          <w:sz w:val="18"/>
          <w:szCs w:val="18"/>
        </w:rPr>
        <w:t>бахчевые разв</w:t>
      </w:r>
      <w:r w:rsidR="00D42112" w:rsidRPr="004A31FB">
        <w:rPr>
          <w:sz w:val="18"/>
          <w:szCs w:val="18"/>
        </w:rPr>
        <w:t>алы, елочные базары и так далее).</w:t>
      </w:r>
      <w:proofErr w:type="gramEnd"/>
    </w:p>
    <w:p w:rsidR="004A3CF4" w:rsidRPr="00D342D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4A31FB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4A31FB">
        <w:rPr>
          <w:sz w:val="18"/>
          <w:szCs w:val="18"/>
          <w:u w:val="single"/>
        </w:rPr>
        <w:t xml:space="preserve"> </w:t>
      </w:r>
    </w:p>
    <w:p w:rsidR="004A31FB" w:rsidRPr="004A31FB" w:rsidRDefault="004A31FB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4A31FB">
        <w:rPr>
          <w:color w:val="000000"/>
          <w:sz w:val="18"/>
          <w:szCs w:val="18"/>
        </w:rPr>
        <w:t>Консервация сезонного объекта - межсезонное размещение объекта на месте, предусмотренном договором на размещение, без права осуществления деятельности. При этом пользователь обеспечивает приведение объекта и территории, используемой для его эксплуатации, в состояние, обеспечивающее прочность, устойчивость и сохранность конструкций, оборудования и материалов, а также безопасность объекта для населения и окружающей среды.</w:t>
      </w:r>
    </w:p>
    <w:p w:rsidR="004A3CF4" w:rsidRPr="004A31FB" w:rsidRDefault="004A3CF4" w:rsidP="004A3CF4">
      <w:pPr>
        <w:pStyle w:val="ConsPlusNormal"/>
        <w:ind w:firstLine="284"/>
        <w:jc w:val="both"/>
      </w:pPr>
      <w:r w:rsidRPr="004A31FB">
        <w:t>Торговлю осуществлять в соответствии с Законом Республики Татарстан от 06.03.2015 №10-ЗРТ «О дополнительных огранич</w:t>
      </w:r>
      <w:r w:rsidRPr="004A31FB">
        <w:t>е</w:t>
      </w:r>
      <w:r w:rsidRPr="004A31FB">
        <w:t xml:space="preserve">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 w:rsidRPr="004A31FB">
        <w:t>утр</w:t>
      </w:r>
      <w:r w:rsidRPr="004A31FB">
        <w:t>а</w:t>
      </w:r>
      <w:r w:rsidRPr="004A31FB">
        <w:t>тившими</w:t>
      </w:r>
      <w:proofErr w:type="gramEnd"/>
      <w:r w:rsidRPr="004A31FB">
        <w:t xml:space="preserve"> силу некоторых законодательных актов Республики Татарстан».</w:t>
      </w:r>
    </w:p>
    <w:p w:rsidR="00D67246" w:rsidRPr="004A31FB" w:rsidRDefault="00D67246" w:rsidP="00C50274">
      <w:pPr>
        <w:ind w:firstLine="284"/>
        <w:jc w:val="both"/>
        <w:rPr>
          <w:sz w:val="18"/>
          <w:szCs w:val="18"/>
        </w:rPr>
      </w:pPr>
      <w:r w:rsidRPr="004A31FB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lastRenderedPageBreak/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9B0C3D">
        <w:rPr>
          <w:b/>
          <w:sz w:val="18"/>
          <w:szCs w:val="18"/>
        </w:rPr>
        <w:t>2</w:t>
      </w:r>
      <w:r w:rsidR="00D342D5">
        <w:rPr>
          <w:b/>
          <w:sz w:val="18"/>
          <w:szCs w:val="18"/>
        </w:rPr>
        <w:t>8</w:t>
      </w:r>
      <w:r w:rsidR="0015290E">
        <w:rPr>
          <w:b/>
          <w:sz w:val="18"/>
          <w:szCs w:val="18"/>
        </w:rPr>
        <w:t>0000</w:t>
      </w:r>
      <w:r w:rsidR="00D342D5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</w:t>
      </w:r>
      <w:r w:rsidRPr="008B5F2E">
        <w:rPr>
          <w:sz w:val="18"/>
          <w:szCs w:val="18"/>
        </w:rPr>
        <w:lastRenderedPageBreak/>
        <w:t>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</w:t>
      </w:r>
      <w:r w:rsidR="009B0C3D"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342D5">
        <w:rPr>
          <w:b/>
          <w:spacing w:val="4"/>
          <w:sz w:val="18"/>
          <w:szCs w:val="18"/>
        </w:rPr>
        <w:t>1</w:t>
      </w:r>
      <w:r w:rsidR="00605C1E">
        <w:rPr>
          <w:b/>
          <w:spacing w:val="4"/>
          <w:sz w:val="18"/>
          <w:szCs w:val="18"/>
        </w:rPr>
        <w:t>0</w:t>
      </w:r>
      <w:r w:rsidR="009B0C3D">
        <w:rPr>
          <w:b/>
          <w:spacing w:val="4"/>
          <w:sz w:val="18"/>
          <w:szCs w:val="18"/>
        </w:rPr>
        <w:t>.03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342D5">
        <w:rPr>
          <w:b/>
          <w:spacing w:val="4"/>
          <w:sz w:val="18"/>
          <w:szCs w:val="18"/>
        </w:rPr>
        <w:t>23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9B0C3D">
        <w:rPr>
          <w:b/>
          <w:spacing w:val="4"/>
          <w:sz w:val="18"/>
          <w:szCs w:val="18"/>
        </w:rPr>
        <w:t>2</w:t>
      </w:r>
      <w:r w:rsidR="00D342D5">
        <w:rPr>
          <w:b/>
          <w:spacing w:val="4"/>
          <w:sz w:val="18"/>
          <w:szCs w:val="18"/>
        </w:rPr>
        <w:t>8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D342D5">
        <w:rPr>
          <w:b/>
          <w:spacing w:val="4"/>
          <w:sz w:val="18"/>
          <w:szCs w:val="18"/>
        </w:rPr>
        <w:t>31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 xml:space="preserve">нестационарных </w:t>
      </w:r>
      <w:r w:rsidR="004A3CF4">
        <w:rPr>
          <w:sz w:val="18"/>
          <w:szCs w:val="18"/>
        </w:rPr>
        <w:lastRenderedPageBreak/>
        <w:t>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9B0C3D" w:rsidRPr="00777E8C" w:rsidRDefault="009B0C3D" w:rsidP="009B0C3D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1B5A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1FB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0C3D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1B5A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773F7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42D5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2ABB-85B1-449D-8328-08D1CA40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31383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2017-03-09T11:25:00Z</dcterms:created>
  <dcterms:modified xsi:type="dcterms:W3CDTF">2017-03-09T13:17:00Z</dcterms:modified>
</cp:coreProperties>
</file>