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F000AA">
        <w:rPr>
          <w:sz w:val="22"/>
          <w:szCs w:val="22"/>
        </w:rPr>
        <w:t>1</w:t>
      </w:r>
      <w:r w:rsidR="00F000AA" w:rsidRPr="00F000AA">
        <w:rPr>
          <w:sz w:val="22"/>
          <w:szCs w:val="22"/>
        </w:rPr>
        <w:t>5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F000AA" w:rsidRPr="00F000AA">
        <w:rPr>
          <w:sz w:val="22"/>
          <w:szCs w:val="22"/>
        </w:rPr>
        <w:t>3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0</w:t>
      </w:r>
      <w:r w:rsidR="001D5964">
        <w:rPr>
          <w:b/>
          <w:sz w:val="22"/>
          <w:szCs w:val="22"/>
        </w:rPr>
        <w:t>9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>торговых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793E38" w:rsidRPr="00F76846" w:rsidTr="00220EC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Реестр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Начальная (минимал</w:t>
            </w:r>
            <w:r w:rsidRPr="00F76846">
              <w:rPr>
                <w:b/>
                <w:bCs/>
                <w:sz w:val="16"/>
                <w:szCs w:val="16"/>
              </w:rPr>
              <w:t>ь</w:t>
            </w:r>
            <w:r w:rsidRPr="00F76846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стоимость права</w:t>
            </w:r>
            <w:r w:rsidR="009D0961">
              <w:rPr>
                <w:b/>
                <w:bCs/>
                <w:sz w:val="16"/>
                <w:szCs w:val="16"/>
              </w:rPr>
              <w:t xml:space="preserve"> ра</w:t>
            </w:r>
            <w:r w:rsidR="009D0961">
              <w:rPr>
                <w:b/>
                <w:bCs/>
                <w:sz w:val="16"/>
                <w:szCs w:val="16"/>
              </w:rPr>
              <w:t>з</w:t>
            </w:r>
            <w:r w:rsidR="009D0961">
              <w:rPr>
                <w:b/>
                <w:bCs/>
                <w:sz w:val="16"/>
                <w:szCs w:val="16"/>
              </w:rPr>
              <w:t>мещения на 1 период (сезон)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Шаг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го аукциона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(5% от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F76846">
              <w:rPr>
                <w:b/>
                <w:bCs/>
                <w:sz w:val="16"/>
                <w:szCs w:val="16"/>
              </w:rPr>
              <w:t>е</w:t>
            </w:r>
            <w:r w:rsidRPr="00F76846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F76846">
              <w:rPr>
                <w:b/>
                <w:bCs/>
                <w:sz w:val="16"/>
                <w:szCs w:val="16"/>
              </w:rPr>
              <w:t>в</w:t>
            </w:r>
            <w:r w:rsidRPr="00F76846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93E38" w:rsidRPr="00F76846" w:rsidTr="00220EC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обеспечение заявки (</w:t>
            </w:r>
            <w:r w:rsidR="007F76BF">
              <w:rPr>
                <w:b/>
                <w:bCs/>
                <w:sz w:val="16"/>
                <w:szCs w:val="16"/>
              </w:rPr>
              <w:t>10</w:t>
            </w:r>
            <w:r w:rsidRPr="00F76846">
              <w:rPr>
                <w:b/>
                <w:bCs/>
                <w:sz w:val="16"/>
                <w:szCs w:val="16"/>
              </w:rPr>
              <w:t>0%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от начальной стоимости)</w:t>
            </w:r>
            <w:r w:rsidR="007F76BF">
              <w:rPr>
                <w:b/>
                <w:bCs/>
                <w:sz w:val="16"/>
                <w:szCs w:val="16"/>
              </w:rPr>
              <w:t>, но не менее 50000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плата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за участие в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93E38" w:rsidRPr="000967DE" w:rsidTr="00220ECD">
        <w:trPr>
          <w:trHeight w:val="109"/>
        </w:trPr>
        <w:tc>
          <w:tcPr>
            <w:tcW w:w="427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МВ-А-12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Ул.Максимова, 22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16:50:220524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9 302,76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465,14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МВ-А-13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Ул.Побежимова, 51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16:50:220201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9 253,89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462,69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МВ-А-14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Ул.Максимова, 31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16:50:220523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9 297,83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464,89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МВ-А-15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Ул.Максимова, 47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16:50:220529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9 435,79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471,79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МВ-А-16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Ул.Копылова, 2а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9 542,64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477,13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МВ-А-17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Ул.Дементьева, 3/2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16:50:220537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9 374,91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468,75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МВ-А-18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Ул.Гудованцева, 2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16:50:221220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10 059,96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503,00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МВ-А-19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Ул.Айдарова, 20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16:50:220502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9 021,00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451,05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МВ-А-20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Ул.Максимова, 7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16:50:220533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9 375,05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468,75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МВ-А-21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Ул.Айдарова, 7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16:50:220515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9 261,01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463,05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МВ-А-22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Ул.Копылова (парк «Крылья Советов»)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9 542,64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477,13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  <w:tr w:rsidR="00885BD0" w:rsidRPr="00A63A38" w:rsidTr="00220ECD">
        <w:trPr>
          <w:trHeight w:val="360"/>
        </w:trPr>
        <w:tc>
          <w:tcPr>
            <w:tcW w:w="433" w:type="dxa"/>
            <w:gridSpan w:val="2"/>
          </w:tcPr>
          <w:p w:rsidR="00885BD0" w:rsidRDefault="00885BD0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both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МВ-А-23</w:t>
            </w:r>
          </w:p>
        </w:tc>
        <w:tc>
          <w:tcPr>
            <w:tcW w:w="2126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Ул.Копылова (парк «Крылья Советов»)</w:t>
            </w:r>
          </w:p>
        </w:tc>
        <w:tc>
          <w:tcPr>
            <w:tcW w:w="567" w:type="dxa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885BD0" w:rsidRPr="008174DA" w:rsidRDefault="00885BD0" w:rsidP="001C2FAD">
            <w:pPr>
              <w:suppressAutoHyphens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8174DA">
              <w:rPr>
                <w:b/>
                <w:bCs/>
                <w:sz w:val="16"/>
                <w:szCs w:val="16"/>
              </w:rPr>
              <w:t>9 542,64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477,13</w:t>
            </w:r>
          </w:p>
        </w:tc>
        <w:tc>
          <w:tcPr>
            <w:tcW w:w="1134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885BD0" w:rsidRPr="008174DA" w:rsidRDefault="00885BD0" w:rsidP="001C2FAD">
            <w:pPr>
              <w:suppressAutoHyphens/>
              <w:jc w:val="center"/>
              <w:rPr>
                <w:sz w:val="16"/>
                <w:szCs w:val="16"/>
              </w:rPr>
            </w:pPr>
            <w:r w:rsidRPr="008174DA">
              <w:rPr>
                <w:sz w:val="16"/>
                <w:szCs w:val="16"/>
              </w:rPr>
              <w:t>2 000,00</w:t>
            </w:r>
          </w:p>
        </w:tc>
      </w:tr>
    </w:tbl>
    <w:p w:rsidR="001C66D3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 Запрещается реализация напитков в стеклянной таре. Запрещается реализация кваса с квасных бочек (кеги).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0785E" w:rsidRDefault="0080785E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lastRenderedPageBreak/>
        <w:t xml:space="preserve">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F000AA">
        <w:rPr>
          <w:b/>
          <w:sz w:val="18"/>
          <w:szCs w:val="18"/>
        </w:rPr>
        <w:t>0</w:t>
      </w:r>
      <w:r w:rsidR="00F000AA" w:rsidRPr="00F000AA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7F76BF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</w:t>
      </w:r>
      <w:r w:rsidRPr="003106B1">
        <w:rPr>
          <w:sz w:val="18"/>
          <w:szCs w:val="18"/>
        </w:rPr>
        <w:lastRenderedPageBreak/>
        <w:t>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Подача заявки на участие в электронном аукционе является согласием заявителя на списание денежных средств, находящихся </w:t>
      </w:r>
      <w:r w:rsidRPr="008B5F2E">
        <w:rPr>
          <w:sz w:val="18"/>
          <w:szCs w:val="18"/>
        </w:rPr>
        <w:lastRenderedPageBreak/>
        <w:t>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FA4B08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FA4B08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15D54">
        <w:rPr>
          <w:b/>
          <w:spacing w:val="4"/>
          <w:sz w:val="18"/>
          <w:szCs w:val="18"/>
        </w:rPr>
        <w:t>0</w:t>
      </w:r>
      <w:r w:rsidR="00FA4B08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  <w:lang w:val="en-US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</w:t>
      </w:r>
      <w:r w:rsidR="00FA4B08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F000AA" w:rsidRPr="00F000AA" w:rsidRDefault="00F000AA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</w:t>
      </w:r>
      <w:bookmarkStart w:id="1" w:name="_GoBack"/>
      <w:bookmarkEnd w:id="1"/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lastRenderedPageBreak/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00AA">
      <w:rPr>
        <w:rStyle w:val="a9"/>
        <w:noProof/>
      </w:rPr>
      <w:t>4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85E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85BD0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00AA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4B08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749D-3592-49C6-BDD8-2CE18F64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4878</Words>
  <Characters>27808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32621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2015-12-30T08:21:00Z</cp:lastPrinted>
  <dcterms:created xsi:type="dcterms:W3CDTF">2017-02-14T13:57:00Z</dcterms:created>
  <dcterms:modified xsi:type="dcterms:W3CDTF">2017-02-15T08:27:00Z</dcterms:modified>
</cp:coreProperties>
</file>