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8D7005">
        <w:rPr>
          <w:sz w:val="22"/>
          <w:szCs w:val="22"/>
        </w:rPr>
        <w:t>1</w:t>
      </w:r>
      <w:r w:rsidR="008D7005" w:rsidRPr="008D7005">
        <w:rPr>
          <w:sz w:val="22"/>
          <w:szCs w:val="22"/>
        </w:rPr>
        <w:t>5</w:t>
      </w:r>
      <w:r w:rsidR="00BF264D">
        <w:rPr>
          <w:sz w:val="22"/>
          <w:szCs w:val="22"/>
        </w:rPr>
        <w:t>.02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8D7005" w:rsidRPr="008D7005">
        <w:rPr>
          <w:sz w:val="22"/>
          <w:szCs w:val="22"/>
        </w:rPr>
        <w:t>5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0</w:t>
      </w:r>
      <w:r w:rsidR="001D5964">
        <w:rPr>
          <w:b/>
          <w:sz w:val="22"/>
          <w:szCs w:val="22"/>
        </w:rPr>
        <w:t>9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>сроком на 5 месяцев</w:t>
      </w:r>
      <w:r w:rsidR="00B62336">
        <w:rPr>
          <w:sz w:val="22"/>
          <w:szCs w:val="22"/>
        </w:rPr>
        <w:t xml:space="preserve"> (в течении сезона)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376D8E">
        <w:rPr>
          <w:sz w:val="22"/>
          <w:szCs w:val="22"/>
        </w:rPr>
        <w:t xml:space="preserve">объектов по предоставлению услуг (аттракционы, батуты) </w:t>
      </w:r>
      <w:r w:rsidR="00BE5A4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>на территории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567"/>
        <w:gridCol w:w="1134"/>
        <w:gridCol w:w="993"/>
        <w:gridCol w:w="992"/>
        <w:gridCol w:w="992"/>
        <w:gridCol w:w="1134"/>
        <w:gridCol w:w="992"/>
      </w:tblGrid>
      <w:tr w:rsidR="00793E38" w:rsidRPr="00F76846" w:rsidTr="00220ECD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793E38" w:rsidRPr="00F76846" w:rsidRDefault="00793E38" w:rsidP="00220EC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Реестр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793E38" w:rsidRPr="00F76846" w:rsidRDefault="00793E38" w:rsidP="00220EC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Пл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>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793E38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93E38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Начальная (минимал</w:t>
            </w:r>
            <w:r w:rsidRPr="00F76846">
              <w:rPr>
                <w:b/>
                <w:bCs/>
                <w:sz w:val="16"/>
                <w:szCs w:val="16"/>
              </w:rPr>
              <w:t>ь</w:t>
            </w:r>
            <w:r w:rsidRPr="00F76846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стоимость права</w:t>
            </w:r>
            <w:r w:rsidR="009D0961">
              <w:rPr>
                <w:b/>
                <w:bCs/>
                <w:sz w:val="16"/>
                <w:szCs w:val="16"/>
              </w:rPr>
              <w:t xml:space="preserve"> ра</w:t>
            </w:r>
            <w:r w:rsidR="009D0961">
              <w:rPr>
                <w:b/>
                <w:bCs/>
                <w:sz w:val="16"/>
                <w:szCs w:val="16"/>
              </w:rPr>
              <w:t>з</w:t>
            </w:r>
            <w:r w:rsidR="009D0961">
              <w:rPr>
                <w:b/>
                <w:bCs/>
                <w:sz w:val="16"/>
                <w:szCs w:val="16"/>
              </w:rPr>
              <w:t>мещения на 1 период (сезон)</w:t>
            </w:r>
            <w:r w:rsidRPr="00F76846">
              <w:rPr>
                <w:b/>
                <w:bCs/>
                <w:sz w:val="16"/>
                <w:szCs w:val="16"/>
              </w:rPr>
              <w:t>,</w:t>
            </w:r>
          </w:p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Шаг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электронн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>го аукциона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(5% от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F76846">
              <w:rPr>
                <w:b/>
                <w:bCs/>
                <w:sz w:val="16"/>
                <w:szCs w:val="16"/>
              </w:rPr>
              <w:t>е</w:t>
            </w:r>
            <w:r w:rsidRPr="00F76846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F76846">
              <w:rPr>
                <w:b/>
                <w:bCs/>
                <w:sz w:val="16"/>
                <w:szCs w:val="16"/>
              </w:rPr>
              <w:t>в</w:t>
            </w:r>
            <w:r w:rsidRPr="00F76846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793E38" w:rsidRPr="00F76846" w:rsidTr="00220ECD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в т.ч.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обеспечение заявки (</w:t>
            </w:r>
            <w:r w:rsidR="007F76BF">
              <w:rPr>
                <w:b/>
                <w:bCs/>
                <w:sz w:val="16"/>
                <w:szCs w:val="16"/>
              </w:rPr>
              <w:t>10</w:t>
            </w:r>
            <w:r w:rsidRPr="00F76846">
              <w:rPr>
                <w:b/>
                <w:bCs/>
                <w:sz w:val="16"/>
                <w:szCs w:val="16"/>
              </w:rPr>
              <w:t>0%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от начальной стоимости)</w:t>
            </w:r>
            <w:r w:rsidR="007F76BF">
              <w:rPr>
                <w:b/>
                <w:bCs/>
                <w:sz w:val="16"/>
                <w:szCs w:val="16"/>
              </w:rPr>
              <w:t>, но не менее 50000</w:t>
            </w:r>
            <w:r w:rsidRPr="00F76846">
              <w:rPr>
                <w:b/>
                <w:bCs/>
                <w:sz w:val="16"/>
                <w:szCs w:val="16"/>
              </w:rPr>
              <w:t>,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в т.ч.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плата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за участие в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793E38" w:rsidRPr="000967DE" w:rsidTr="00220ECD">
        <w:trPr>
          <w:trHeight w:val="109"/>
        </w:trPr>
        <w:tc>
          <w:tcPr>
            <w:tcW w:w="427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191304" w:rsidRPr="00A63A38" w:rsidTr="00220ECD">
        <w:trPr>
          <w:trHeight w:val="360"/>
        </w:trPr>
        <w:tc>
          <w:tcPr>
            <w:tcW w:w="433" w:type="dxa"/>
            <w:gridSpan w:val="2"/>
          </w:tcPr>
          <w:p w:rsidR="00191304" w:rsidRDefault="00191304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both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АБ-А-1</w:t>
            </w:r>
          </w:p>
        </w:tc>
        <w:tc>
          <w:tcPr>
            <w:tcW w:w="2126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Ул.Копылова (парк «Крылья Советов»)</w:t>
            </w:r>
          </w:p>
        </w:tc>
        <w:tc>
          <w:tcPr>
            <w:tcW w:w="567" w:type="dxa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16:50:220101</w:t>
            </w:r>
          </w:p>
        </w:tc>
        <w:tc>
          <w:tcPr>
            <w:tcW w:w="993" w:type="dxa"/>
          </w:tcPr>
          <w:p w:rsidR="00191304" w:rsidRPr="00732722" w:rsidRDefault="00191304" w:rsidP="00E322B2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238 565,93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11 928,30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238 565,93</w:t>
            </w:r>
          </w:p>
        </w:tc>
        <w:tc>
          <w:tcPr>
            <w:tcW w:w="992" w:type="dxa"/>
            <w:shd w:val="clear" w:color="auto" w:fill="auto"/>
          </w:tcPr>
          <w:p w:rsidR="00191304" w:rsidRPr="00732722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191304" w:rsidRPr="00A63A38" w:rsidTr="00220ECD">
        <w:trPr>
          <w:trHeight w:val="360"/>
        </w:trPr>
        <w:tc>
          <w:tcPr>
            <w:tcW w:w="433" w:type="dxa"/>
            <w:gridSpan w:val="2"/>
          </w:tcPr>
          <w:p w:rsidR="00191304" w:rsidRDefault="00191304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both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АБ-А-2</w:t>
            </w:r>
          </w:p>
        </w:tc>
        <w:tc>
          <w:tcPr>
            <w:tcW w:w="2126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Ул.Копылова (парк «Крылья Советов») (передвижной аттракцион)</w:t>
            </w:r>
          </w:p>
        </w:tc>
        <w:tc>
          <w:tcPr>
            <w:tcW w:w="567" w:type="dxa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16:50:220101</w:t>
            </w:r>
          </w:p>
        </w:tc>
        <w:tc>
          <w:tcPr>
            <w:tcW w:w="993" w:type="dxa"/>
          </w:tcPr>
          <w:p w:rsidR="00191304" w:rsidRDefault="00191304" w:rsidP="00E322B2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47 713,19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2 385,66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91304" w:rsidRPr="00732722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191304" w:rsidRPr="00A63A38" w:rsidTr="00220ECD">
        <w:trPr>
          <w:trHeight w:val="360"/>
        </w:trPr>
        <w:tc>
          <w:tcPr>
            <w:tcW w:w="433" w:type="dxa"/>
            <w:gridSpan w:val="2"/>
          </w:tcPr>
          <w:p w:rsidR="00191304" w:rsidRDefault="00191304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both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АБ-НС-4</w:t>
            </w:r>
          </w:p>
        </w:tc>
        <w:tc>
          <w:tcPr>
            <w:tcW w:w="2126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Парк Победы (передвижной аттракцион)</w:t>
            </w:r>
          </w:p>
        </w:tc>
        <w:tc>
          <w:tcPr>
            <w:tcW w:w="567" w:type="dxa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16:50:110406</w:t>
            </w:r>
          </w:p>
        </w:tc>
        <w:tc>
          <w:tcPr>
            <w:tcW w:w="993" w:type="dxa"/>
          </w:tcPr>
          <w:p w:rsidR="00191304" w:rsidRDefault="00191304" w:rsidP="00E322B2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51 779,13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2 588,96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51 779,13</w:t>
            </w:r>
          </w:p>
        </w:tc>
        <w:tc>
          <w:tcPr>
            <w:tcW w:w="992" w:type="dxa"/>
            <w:shd w:val="clear" w:color="auto" w:fill="auto"/>
          </w:tcPr>
          <w:p w:rsidR="00191304" w:rsidRPr="00732722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191304" w:rsidRPr="00A63A38" w:rsidTr="00220ECD">
        <w:trPr>
          <w:trHeight w:val="360"/>
        </w:trPr>
        <w:tc>
          <w:tcPr>
            <w:tcW w:w="433" w:type="dxa"/>
            <w:gridSpan w:val="2"/>
          </w:tcPr>
          <w:p w:rsidR="00191304" w:rsidRDefault="00191304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both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АБ-НС-5</w:t>
            </w:r>
          </w:p>
        </w:tc>
        <w:tc>
          <w:tcPr>
            <w:tcW w:w="2126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Парк Победы (воздушный шар)</w:t>
            </w:r>
          </w:p>
        </w:tc>
        <w:tc>
          <w:tcPr>
            <w:tcW w:w="567" w:type="dxa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16:50:110406</w:t>
            </w:r>
          </w:p>
        </w:tc>
        <w:tc>
          <w:tcPr>
            <w:tcW w:w="993" w:type="dxa"/>
          </w:tcPr>
          <w:p w:rsidR="00191304" w:rsidRDefault="00191304" w:rsidP="00E322B2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86 298,55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4 314,93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86 298,55</w:t>
            </w:r>
          </w:p>
        </w:tc>
        <w:tc>
          <w:tcPr>
            <w:tcW w:w="992" w:type="dxa"/>
            <w:shd w:val="clear" w:color="auto" w:fill="auto"/>
          </w:tcPr>
          <w:p w:rsidR="00191304" w:rsidRPr="00732722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191304" w:rsidRPr="00A63A38" w:rsidTr="00220ECD">
        <w:trPr>
          <w:trHeight w:val="360"/>
        </w:trPr>
        <w:tc>
          <w:tcPr>
            <w:tcW w:w="433" w:type="dxa"/>
            <w:gridSpan w:val="2"/>
          </w:tcPr>
          <w:p w:rsidR="00191304" w:rsidRDefault="00191304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both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АБ-В-4</w:t>
            </w:r>
          </w:p>
        </w:tc>
        <w:tc>
          <w:tcPr>
            <w:tcW w:w="2126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ЦПКиО г.Казани (передвижной аттракцион)</w:t>
            </w:r>
          </w:p>
        </w:tc>
        <w:tc>
          <w:tcPr>
            <w:tcW w:w="567" w:type="dxa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16:50:010802</w:t>
            </w:r>
          </w:p>
        </w:tc>
        <w:tc>
          <w:tcPr>
            <w:tcW w:w="993" w:type="dxa"/>
          </w:tcPr>
          <w:p w:rsidR="00191304" w:rsidRDefault="00191304" w:rsidP="00E322B2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87 267,90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4 363,39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87 267,90</w:t>
            </w:r>
          </w:p>
        </w:tc>
        <w:tc>
          <w:tcPr>
            <w:tcW w:w="992" w:type="dxa"/>
            <w:shd w:val="clear" w:color="auto" w:fill="auto"/>
          </w:tcPr>
          <w:p w:rsidR="00191304" w:rsidRPr="00732722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191304" w:rsidRPr="00A63A38" w:rsidTr="00220ECD">
        <w:trPr>
          <w:trHeight w:val="360"/>
        </w:trPr>
        <w:tc>
          <w:tcPr>
            <w:tcW w:w="433" w:type="dxa"/>
            <w:gridSpan w:val="2"/>
          </w:tcPr>
          <w:p w:rsidR="00191304" w:rsidRDefault="00191304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both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АБ-К-1</w:t>
            </w:r>
          </w:p>
        </w:tc>
        <w:tc>
          <w:tcPr>
            <w:tcW w:w="2126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Парк Петрова (аттракцион)</w:t>
            </w:r>
          </w:p>
        </w:tc>
        <w:tc>
          <w:tcPr>
            <w:tcW w:w="567" w:type="dxa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16:50:090441</w:t>
            </w:r>
          </w:p>
        </w:tc>
        <w:tc>
          <w:tcPr>
            <w:tcW w:w="993" w:type="dxa"/>
          </w:tcPr>
          <w:p w:rsidR="00191304" w:rsidRDefault="00191304" w:rsidP="00E322B2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55 450,20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2 772,51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55 450,20</w:t>
            </w:r>
          </w:p>
        </w:tc>
        <w:tc>
          <w:tcPr>
            <w:tcW w:w="992" w:type="dxa"/>
            <w:shd w:val="clear" w:color="auto" w:fill="auto"/>
          </w:tcPr>
          <w:p w:rsidR="00191304" w:rsidRPr="00732722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191304" w:rsidRPr="00A63A38" w:rsidTr="00220ECD">
        <w:trPr>
          <w:trHeight w:val="360"/>
        </w:trPr>
        <w:tc>
          <w:tcPr>
            <w:tcW w:w="433" w:type="dxa"/>
            <w:gridSpan w:val="2"/>
          </w:tcPr>
          <w:p w:rsidR="00191304" w:rsidRDefault="00191304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both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АБ-К-2</w:t>
            </w:r>
          </w:p>
        </w:tc>
        <w:tc>
          <w:tcPr>
            <w:tcW w:w="2126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ДК Железнодорожников</w:t>
            </w:r>
          </w:p>
        </w:tc>
        <w:tc>
          <w:tcPr>
            <w:tcW w:w="567" w:type="dxa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16:50:280838</w:t>
            </w:r>
          </w:p>
        </w:tc>
        <w:tc>
          <w:tcPr>
            <w:tcW w:w="993" w:type="dxa"/>
          </w:tcPr>
          <w:p w:rsidR="00191304" w:rsidRDefault="00191304" w:rsidP="00E322B2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229 250,78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11 462,54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229 250,78</w:t>
            </w:r>
          </w:p>
        </w:tc>
        <w:tc>
          <w:tcPr>
            <w:tcW w:w="992" w:type="dxa"/>
            <w:shd w:val="clear" w:color="auto" w:fill="auto"/>
          </w:tcPr>
          <w:p w:rsidR="00191304" w:rsidRPr="00732722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191304" w:rsidRPr="00A63A38" w:rsidTr="00220ECD">
        <w:trPr>
          <w:trHeight w:val="360"/>
        </w:trPr>
        <w:tc>
          <w:tcPr>
            <w:tcW w:w="433" w:type="dxa"/>
            <w:gridSpan w:val="2"/>
          </w:tcPr>
          <w:p w:rsidR="00191304" w:rsidRDefault="00191304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both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АБ-М-1</w:t>
            </w:r>
          </w:p>
        </w:tc>
        <w:tc>
          <w:tcPr>
            <w:tcW w:w="2126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Нижнезареченская дамба (аттракцион)</w:t>
            </w:r>
          </w:p>
        </w:tc>
        <w:tc>
          <w:tcPr>
            <w:tcW w:w="567" w:type="dxa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16:50:030101</w:t>
            </w:r>
          </w:p>
        </w:tc>
        <w:tc>
          <w:tcPr>
            <w:tcW w:w="993" w:type="dxa"/>
          </w:tcPr>
          <w:p w:rsidR="00191304" w:rsidRDefault="00191304" w:rsidP="00E322B2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184 834,00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9 241,70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184 834,00</w:t>
            </w:r>
          </w:p>
        </w:tc>
        <w:tc>
          <w:tcPr>
            <w:tcW w:w="992" w:type="dxa"/>
            <w:shd w:val="clear" w:color="auto" w:fill="auto"/>
          </w:tcPr>
          <w:p w:rsidR="00191304" w:rsidRPr="00732722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191304" w:rsidRPr="00A63A38" w:rsidTr="00220ECD">
        <w:trPr>
          <w:trHeight w:val="360"/>
        </w:trPr>
        <w:tc>
          <w:tcPr>
            <w:tcW w:w="433" w:type="dxa"/>
            <w:gridSpan w:val="2"/>
          </w:tcPr>
          <w:p w:rsidR="00191304" w:rsidRDefault="00191304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both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АБ-С-1</w:t>
            </w:r>
          </w:p>
        </w:tc>
        <w:tc>
          <w:tcPr>
            <w:tcW w:w="2126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Ул.Парковая, 27а (аттракцион)</w:t>
            </w:r>
          </w:p>
        </w:tc>
        <w:tc>
          <w:tcPr>
            <w:tcW w:w="567" w:type="dxa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16:50:250221</w:t>
            </w:r>
          </w:p>
        </w:tc>
        <w:tc>
          <w:tcPr>
            <w:tcW w:w="993" w:type="dxa"/>
          </w:tcPr>
          <w:p w:rsidR="00191304" w:rsidRDefault="00191304" w:rsidP="00E322B2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245 565,45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12 278,27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245 565,45</w:t>
            </w:r>
          </w:p>
        </w:tc>
        <w:tc>
          <w:tcPr>
            <w:tcW w:w="992" w:type="dxa"/>
            <w:shd w:val="clear" w:color="auto" w:fill="auto"/>
          </w:tcPr>
          <w:p w:rsidR="00191304" w:rsidRPr="00732722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191304" w:rsidRPr="00A63A38" w:rsidTr="00220ECD">
        <w:trPr>
          <w:trHeight w:val="360"/>
        </w:trPr>
        <w:tc>
          <w:tcPr>
            <w:tcW w:w="433" w:type="dxa"/>
            <w:gridSpan w:val="2"/>
          </w:tcPr>
          <w:p w:rsidR="00191304" w:rsidRDefault="00191304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both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АБ-С-2</w:t>
            </w:r>
          </w:p>
        </w:tc>
        <w:tc>
          <w:tcPr>
            <w:tcW w:w="2126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Детский игровой парк по ул.Мира (аттракцион)</w:t>
            </w:r>
          </w:p>
        </w:tc>
        <w:tc>
          <w:tcPr>
            <w:tcW w:w="567" w:type="dxa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16:50:250249</w:t>
            </w:r>
          </w:p>
        </w:tc>
        <w:tc>
          <w:tcPr>
            <w:tcW w:w="993" w:type="dxa"/>
          </w:tcPr>
          <w:p w:rsidR="00191304" w:rsidRDefault="00191304" w:rsidP="00E322B2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252 925,73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12 646,29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252 925,73</w:t>
            </w:r>
          </w:p>
        </w:tc>
        <w:tc>
          <w:tcPr>
            <w:tcW w:w="992" w:type="dxa"/>
            <w:shd w:val="clear" w:color="auto" w:fill="auto"/>
          </w:tcPr>
          <w:p w:rsidR="00191304" w:rsidRPr="00732722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191304" w:rsidRPr="00A63A38" w:rsidTr="00220ECD">
        <w:trPr>
          <w:trHeight w:val="360"/>
        </w:trPr>
        <w:tc>
          <w:tcPr>
            <w:tcW w:w="433" w:type="dxa"/>
            <w:gridSpan w:val="2"/>
          </w:tcPr>
          <w:p w:rsidR="00191304" w:rsidRDefault="00191304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both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АБ-С-3</w:t>
            </w:r>
          </w:p>
        </w:tc>
        <w:tc>
          <w:tcPr>
            <w:tcW w:w="2126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ДК имени Саид-Галеева</w:t>
            </w:r>
          </w:p>
        </w:tc>
        <w:tc>
          <w:tcPr>
            <w:tcW w:w="567" w:type="dxa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16:50:250260</w:t>
            </w:r>
          </w:p>
        </w:tc>
        <w:tc>
          <w:tcPr>
            <w:tcW w:w="993" w:type="dxa"/>
          </w:tcPr>
          <w:p w:rsidR="00191304" w:rsidRDefault="00191304" w:rsidP="00E322B2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239 057,65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11 952,88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239 057,65</w:t>
            </w:r>
          </w:p>
        </w:tc>
        <w:tc>
          <w:tcPr>
            <w:tcW w:w="992" w:type="dxa"/>
            <w:shd w:val="clear" w:color="auto" w:fill="auto"/>
          </w:tcPr>
          <w:p w:rsidR="00191304" w:rsidRPr="00732722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191304" w:rsidRPr="00A63A38" w:rsidTr="00220ECD">
        <w:trPr>
          <w:trHeight w:val="360"/>
        </w:trPr>
        <w:tc>
          <w:tcPr>
            <w:tcW w:w="433" w:type="dxa"/>
            <w:gridSpan w:val="2"/>
          </w:tcPr>
          <w:p w:rsidR="00191304" w:rsidRDefault="00191304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both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АБ-С-5</w:t>
            </w:r>
          </w:p>
        </w:tc>
        <w:tc>
          <w:tcPr>
            <w:tcW w:w="2126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Ул.Х.Бигичева, 16</w:t>
            </w:r>
          </w:p>
        </w:tc>
        <w:tc>
          <w:tcPr>
            <w:tcW w:w="567" w:type="dxa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16:50:150304</w:t>
            </w:r>
          </w:p>
        </w:tc>
        <w:tc>
          <w:tcPr>
            <w:tcW w:w="993" w:type="dxa"/>
          </w:tcPr>
          <w:p w:rsidR="00191304" w:rsidRDefault="00191304" w:rsidP="00E322B2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03C40">
              <w:rPr>
                <w:b/>
                <w:bCs/>
                <w:sz w:val="16"/>
                <w:szCs w:val="16"/>
              </w:rPr>
              <w:t>168 791,57</w:t>
            </w:r>
          </w:p>
        </w:tc>
        <w:tc>
          <w:tcPr>
            <w:tcW w:w="992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8 439,58</w:t>
            </w:r>
          </w:p>
        </w:tc>
        <w:tc>
          <w:tcPr>
            <w:tcW w:w="1134" w:type="dxa"/>
            <w:shd w:val="clear" w:color="auto" w:fill="auto"/>
          </w:tcPr>
          <w:p w:rsidR="00191304" w:rsidRPr="00A03C40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A03C40">
              <w:rPr>
                <w:sz w:val="16"/>
                <w:szCs w:val="16"/>
              </w:rPr>
              <w:t>168 791,57</w:t>
            </w:r>
          </w:p>
        </w:tc>
        <w:tc>
          <w:tcPr>
            <w:tcW w:w="992" w:type="dxa"/>
            <w:shd w:val="clear" w:color="auto" w:fill="auto"/>
          </w:tcPr>
          <w:p w:rsidR="00191304" w:rsidRPr="00732722" w:rsidRDefault="00191304" w:rsidP="00E322B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</w:tbl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</w:p>
    <w:p w:rsidR="00C50274" w:rsidRPr="00C50274" w:rsidRDefault="00C50274" w:rsidP="00C50274">
      <w:pPr>
        <w:ind w:firstLine="284"/>
        <w:jc w:val="both"/>
        <w:rPr>
          <w:sz w:val="18"/>
          <w:szCs w:val="18"/>
        </w:rPr>
      </w:pPr>
      <w:r w:rsidRPr="00C50274">
        <w:rPr>
          <w:sz w:val="18"/>
          <w:szCs w:val="18"/>
        </w:rPr>
        <w:t>Сезонный объект по оказанию услуг – это объект по предоставлению развлекательных услуг, в том числе детские развлек</w:t>
      </w:r>
      <w:r w:rsidRPr="00C50274">
        <w:rPr>
          <w:sz w:val="18"/>
          <w:szCs w:val="18"/>
        </w:rPr>
        <w:t>а</w:t>
      </w:r>
      <w:r w:rsidRPr="00C50274">
        <w:rPr>
          <w:sz w:val="18"/>
          <w:szCs w:val="18"/>
        </w:rPr>
        <w:t>тельные передвижные комплексы и аттракционы.</w:t>
      </w:r>
    </w:p>
    <w:p w:rsidR="00C50274" w:rsidRPr="00C50274" w:rsidRDefault="00C50274" w:rsidP="00C50274">
      <w:pPr>
        <w:ind w:firstLine="284"/>
        <w:jc w:val="both"/>
        <w:rPr>
          <w:sz w:val="18"/>
          <w:szCs w:val="18"/>
        </w:rPr>
      </w:pPr>
      <w:r w:rsidRPr="00C50274">
        <w:rPr>
          <w:sz w:val="18"/>
          <w:szCs w:val="18"/>
        </w:rPr>
        <w:t>Размещение аттракциона «Воздушный шар» и оказание услуги возможно на воздушном судне, имеющем сертификат летной годности гражданского воздушного судна, выданный Министерством транспорта Российской Федерации.</w:t>
      </w:r>
    </w:p>
    <w:p w:rsidR="00C50274" w:rsidRPr="00C50274" w:rsidRDefault="00C50274" w:rsidP="00C50274">
      <w:pPr>
        <w:ind w:firstLine="284"/>
        <w:jc w:val="both"/>
        <w:rPr>
          <w:sz w:val="18"/>
          <w:szCs w:val="18"/>
        </w:rPr>
      </w:pPr>
      <w:r w:rsidRPr="00C50274">
        <w:rPr>
          <w:sz w:val="18"/>
          <w:szCs w:val="18"/>
        </w:rPr>
        <w:t>Лицо, осуществляющее управление воздушным судном (командир воздушного судна) должно иметь действующий сертификат (свидетельство) пилота (ст.57 Воздушного Кодекса РФ).</w:t>
      </w:r>
    </w:p>
    <w:p w:rsidR="00C50274" w:rsidRPr="00C50274" w:rsidRDefault="00C50274" w:rsidP="00C50274">
      <w:pPr>
        <w:ind w:firstLine="284"/>
        <w:jc w:val="both"/>
        <w:rPr>
          <w:sz w:val="18"/>
          <w:szCs w:val="18"/>
        </w:rPr>
      </w:pPr>
      <w:r w:rsidRPr="00C50274">
        <w:rPr>
          <w:sz w:val="18"/>
          <w:szCs w:val="18"/>
        </w:rPr>
        <w:lastRenderedPageBreak/>
        <w:t>Ответственность за безопасность находящихся на борту людей и сохранность воздушного судна лежит на командире возду</w:t>
      </w:r>
      <w:r w:rsidRPr="00C50274">
        <w:rPr>
          <w:sz w:val="18"/>
          <w:szCs w:val="18"/>
        </w:rPr>
        <w:t>ш</w:t>
      </w:r>
      <w:r w:rsidRPr="00C50274">
        <w:rPr>
          <w:sz w:val="18"/>
          <w:szCs w:val="18"/>
        </w:rPr>
        <w:t>ного судна.</w:t>
      </w:r>
    </w:p>
    <w:p w:rsidR="00C50274" w:rsidRDefault="00C50274" w:rsidP="00C50274">
      <w:pPr>
        <w:ind w:firstLine="284"/>
        <w:jc w:val="both"/>
        <w:rPr>
          <w:sz w:val="18"/>
          <w:szCs w:val="18"/>
        </w:rPr>
      </w:pPr>
      <w:r w:rsidRPr="00C50274">
        <w:rPr>
          <w:sz w:val="18"/>
          <w:szCs w:val="18"/>
        </w:rPr>
        <w:t>Место полетов должно отвечать требованиям безопасности, соответствовать правилам безопасности воздушного движения, иметь необходимые согласования с соответствующими властями и позволять проведение нормальных полетов воздушного судна.</w:t>
      </w:r>
    </w:p>
    <w:p w:rsidR="00D67246" w:rsidRPr="00C50274" w:rsidRDefault="00D67246" w:rsidP="00C50274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C50274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>сезонных объектов по предоставлению услуг (аттракционы, батуты)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нестационарных торговых объектов и объектов общественного питания на территории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г.Казани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>сезонных объектов по предоставлению услуг (аттракционы, батуты)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</w:t>
      </w:r>
      <w:r w:rsidRPr="00096BEF">
        <w:rPr>
          <w:sz w:val="18"/>
          <w:szCs w:val="18"/>
        </w:rPr>
        <w:t>ы</w:t>
      </w:r>
      <w:r w:rsidRPr="00096BEF">
        <w:rPr>
          <w:sz w:val="18"/>
          <w:szCs w:val="18"/>
        </w:rPr>
        <w:t>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>сезонных объектов по предоставлению услуг (аттракци</w:t>
      </w:r>
      <w:r w:rsidR="00376D8E" w:rsidRPr="00376D8E">
        <w:rPr>
          <w:sz w:val="18"/>
          <w:szCs w:val="18"/>
        </w:rPr>
        <w:t>о</w:t>
      </w:r>
      <w:r w:rsidR="00376D8E" w:rsidRPr="00376D8E">
        <w:rPr>
          <w:sz w:val="18"/>
          <w:szCs w:val="18"/>
        </w:rPr>
        <w:t>ны, батуты)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>торговая точка по реализации</w:t>
      </w:r>
      <w:r w:rsidR="00376D8E" w:rsidRPr="00376D8E">
        <w:rPr>
          <w:sz w:val="18"/>
          <w:szCs w:val="18"/>
        </w:rPr>
        <w:t xml:space="preserve"> объе</w:t>
      </w:r>
      <w:r w:rsidR="00376D8E" w:rsidRPr="00376D8E">
        <w:rPr>
          <w:sz w:val="18"/>
          <w:szCs w:val="18"/>
        </w:rPr>
        <w:t>к</w:t>
      </w:r>
      <w:r w:rsidR="00376D8E" w:rsidRPr="00376D8E">
        <w:rPr>
          <w:sz w:val="18"/>
          <w:szCs w:val="18"/>
        </w:rPr>
        <w:t>тов по предоставлению услуг (аттракционы, батуты)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г.Казани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B62336">
        <w:rPr>
          <w:b/>
          <w:sz w:val="18"/>
          <w:szCs w:val="18"/>
        </w:rPr>
        <w:t>0</w:t>
      </w:r>
      <w:r w:rsidR="008D7005" w:rsidRPr="008D7005">
        <w:rPr>
          <w:b/>
          <w:sz w:val="18"/>
          <w:szCs w:val="18"/>
        </w:rPr>
        <w:t>9</w:t>
      </w:r>
      <w:r w:rsidR="0015290E">
        <w:rPr>
          <w:b/>
          <w:sz w:val="18"/>
          <w:szCs w:val="18"/>
        </w:rPr>
        <w:t>0000</w:t>
      </w:r>
      <w:r w:rsidR="008D7005" w:rsidRPr="008D7005">
        <w:rPr>
          <w:b/>
          <w:sz w:val="18"/>
          <w:szCs w:val="18"/>
        </w:rPr>
        <w:t>3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</w:t>
      </w:r>
      <w:r w:rsidRPr="003106B1">
        <w:rPr>
          <w:sz w:val="18"/>
          <w:szCs w:val="18"/>
        </w:rPr>
        <w:lastRenderedPageBreak/>
        <w:t xml:space="preserve">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</w:t>
      </w:r>
      <w:r w:rsidR="00CF605B" w:rsidRPr="008B5F2E">
        <w:rPr>
          <w:sz w:val="18"/>
          <w:szCs w:val="18"/>
        </w:rPr>
        <w:lastRenderedPageBreak/>
        <w:t>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6D247A">
        <w:rPr>
          <w:b/>
          <w:spacing w:val="4"/>
          <w:sz w:val="18"/>
          <w:szCs w:val="18"/>
        </w:rPr>
        <w:t>1</w:t>
      </w:r>
      <w:r w:rsidR="00376D8E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E15D54">
        <w:rPr>
          <w:b/>
          <w:spacing w:val="4"/>
          <w:sz w:val="18"/>
          <w:szCs w:val="18"/>
        </w:rPr>
        <w:t>0</w:t>
      </w:r>
      <w:r w:rsidR="00376D8E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E15D54">
        <w:rPr>
          <w:b/>
          <w:spacing w:val="4"/>
          <w:sz w:val="18"/>
          <w:szCs w:val="18"/>
        </w:rPr>
        <w:t>0</w:t>
      </w:r>
      <w:r w:rsidR="00376D8E">
        <w:rPr>
          <w:b/>
          <w:spacing w:val="4"/>
          <w:sz w:val="18"/>
          <w:szCs w:val="18"/>
        </w:rPr>
        <w:t>9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  <w:lang w:val="en-US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727D4F">
        <w:rPr>
          <w:b/>
          <w:spacing w:val="4"/>
          <w:sz w:val="18"/>
          <w:szCs w:val="18"/>
        </w:rPr>
        <w:t>1</w:t>
      </w:r>
      <w:r w:rsidR="00376D8E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D7005" w:rsidRPr="008D7005" w:rsidRDefault="008D7005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</w:t>
      </w:r>
      <w:r w:rsidRPr="00C174DD">
        <w:rPr>
          <w:sz w:val="18"/>
          <w:szCs w:val="18"/>
        </w:rPr>
        <w:lastRenderedPageBreak/>
        <w:t xml:space="preserve">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>сезонных объектов по предоставлению услуг (аттракционы, батуты)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 xml:space="preserve">кую стоимость лота, следующую после предложенной победителем, уклонившимися от заключения Договора, денежные средства, </w:t>
      </w:r>
      <w:r w:rsidRPr="00777E8C">
        <w:rPr>
          <w:sz w:val="18"/>
          <w:szCs w:val="18"/>
        </w:rPr>
        <w:lastRenderedPageBreak/>
        <w:t>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  <w:bookmarkStart w:id="1" w:name="_GoBack"/>
      <w:bookmarkEnd w:id="1"/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D8E" w:rsidRDefault="00376D8E">
      <w:r>
        <w:separator/>
      </w:r>
    </w:p>
  </w:endnote>
  <w:endnote w:type="continuationSeparator" w:id="0">
    <w:p w:rsidR="00376D8E" w:rsidRDefault="0037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D8E" w:rsidRDefault="00376D8E">
      <w:r>
        <w:separator/>
      </w:r>
    </w:p>
  </w:footnote>
  <w:footnote w:type="continuationSeparator" w:id="0">
    <w:p w:rsidR="00376D8E" w:rsidRDefault="00376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7005">
      <w:rPr>
        <w:rStyle w:val="a9"/>
        <w:noProof/>
      </w:rPr>
      <w:t>6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A01E-0D61-4711-B55E-42ABBF9F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4899</Words>
  <Characters>27925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32759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8</cp:revision>
  <cp:lastPrinted>2015-12-30T08:21:00Z</cp:lastPrinted>
  <dcterms:created xsi:type="dcterms:W3CDTF">2017-02-14T13:57:00Z</dcterms:created>
  <dcterms:modified xsi:type="dcterms:W3CDTF">2017-02-15T08:33:00Z</dcterms:modified>
</cp:coreProperties>
</file>