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Pr="00167706" w:rsidRDefault="002A6C35" w:rsidP="008A0327">
      <w:pPr>
        <w:pStyle w:val="FR1"/>
        <w:ind w:right="-1"/>
        <w:rPr>
          <w:b/>
          <w:sz w:val="22"/>
          <w:szCs w:val="22"/>
        </w:rPr>
      </w:pPr>
      <w:r w:rsidRPr="00167706">
        <w:rPr>
          <w:b/>
          <w:sz w:val="22"/>
          <w:szCs w:val="22"/>
        </w:rPr>
        <w:t>ИНФОРМАЦИОННОЕ ИЗВЕЩЕНИЕ</w:t>
      </w:r>
      <w:r w:rsidR="00643F06" w:rsidRPr="00167706">
        <w:rPr>
          <w:b/>
          <w:sz w:val="22"/>
          <w:szCs w:val="22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</w:t>
      </w:r>
      <w:r w:rsidR="007E5FD2" w:rsidRPr="007E5FD2">
        <w:rPr>
          <w:bCs/>
          <w:sz w:val="22"/>
          <w:szCs w:val="22"/>
        </w:rPr>
        <w:t xml:space="preserve"> </w:t>
      </w:r>
      <w:r w:rsidR="007E5FD2" w:rsidRPr="009160AC">
        <w:rPr>
          <w:bCs/>
          <w:sz w:val="22"/>
          <w:szCs w:val="22"/>
        </w:rPr>
        <w:t>внесенных</w:t>
      </w:r>
      <w:r w:rsidRPr="009160AC">
        <w:rPr>
          <w:bCs/>
          <w:sz w:val="22"/>
          <w:szCs w:val="22"/>
        </w:rPr>
        <w:t xml:space="preserve"> изменений), </w:t>
      </w:r>
      <w:r w:rsidRPr="009160AC">
        <w:rPr>
          <w:sz w:val="22"/>
          <w:szCs w:val="22"/>
        </w:rPr>
        <w:t xml:space="preserve">на основании приказа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5B72AC">
        <w:rPr>
          <w:sz w:val="22"/>
          <w:szCs w:val="22"/>
        </w:rPr>
        <w:t>09</w:t>
      </w:r>
      <w:r w:rsidR="00BF264D">
        <w:rPr>
          <w:sz w:val="22"/>
          <w:szCs w:val="22"/>
        </w:rPr>
        <w:t>.0</w:t>
      </w:r>
      <w:r w:rsidR="005B72AC" w:rsidRPr="005B72AC">
        <w:rPr>
          <w:sz w:val="22"/>
          <w:szCs w:val="22"/>
        </w:rPr>
        <w:t>4</w:t>
      </w:r>
      <w:r w:rsidR="001D487B" w:rsidRPr="009160AC">
        <w:rPr>
          <w:sz w:val="22"/>
          <w:szCs w:val="22"/>
        </w:rPr>
        <w:t>.201</w:t>
      </w:r>
      <w:r w:rsidR="007E5FD2">
        <w:rPr>
          <w:sz w:val="22"/>
          <w:szCs w:val="22"/>
        </w:rPr>
        <w:t>8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3E07B6">
        <w:rPr>
          <w:sz w:val="22"/>
          <w:szCs w:val="22"/>
        </w:rPr>
        <w:t>2</w:t>
      </w:r>
      <w:r w:rsidR="003E07B6" w:rsidRPr="003E07B6">
        <w:rPr>
          <w:sz w:val="22"/>
          <w:szCs w:val="22"/>
        </w:rPr>
        <w:t>2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4C7122">
        <w:rPr>
          <w:b/>
          <w:sz w:val="22"/>
          <w:szCs w:val="22"/>
        </w:rPr>
        <w:t>2</w:t>
      </w:r>
      <w:r w:rsidR="005B72AC" w:rsidRPr="005B72AC">
        <w:rPr>
          <w:b/>
          <w:sz w:val="22"/>
          <w:szCs w:val="22"/>
        </w:rPr>
        <w:t>6</w:t>
      </w:r>
      <w:r w:rsidR="007E5FD2">
        <w:rPr>
          <w:b/>
          <w:sz w:val="22"/>
          <w:szCs w:val="22"/>
        </w:rPr>
        <w:t xml:space="preserve"> а</w:t>
      </w:r>
      <w:r w:rsidR="005B72AC">
        <w:rPr>
          <w:b/>
          <w:sz w:val="22"/>
          <w:szCs w:val="22"/>
        </w:rPr>
        <w:t>п</w:t>
      </w:r>
      <w:r w:rsidR="007E5FD2">
        <w:rPr>
          <w:b/>
          <w:sz w:val="22"/>
          <w:szCs w:val="22"/>
        </w:rPr>
        <w:t>р</w:t>
      </w:r>
      <w:r w:rsidR="005B72AC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7E5FD2">
        <w:rPr>
          <w:b/>
          <w:bCs/>
          <w:sz w:val="22"/>
          <w:szCs w:val="22"/>
        </w:rPr>
        <w:t>8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7E5FD2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4A3CF4">
        <w:rPr>
          <w:sz w:val="22"/>
          <w:szCs w:val="22"/>
        </w:rPr>
        <w:t>нестационарных кафе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1985"/>
        <w:gridCol w:w="567"/>
        <w:gridCol w:w="1134"/>
        <w:gridCol w:w="1134"/>
        <w:gridCol w:w="992"/>
        <w:gridCol w:w="992"/>
        <w:gridCol w:w="1134"/>
        <w:gridCol w:w="992"/>
      </w:tblGrid>
      <w:tr w:rsidR="003E07B6" w:rsidRPr="00CE25CD" w:rsidTr="00440B2B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3E07B6" w:rsidRPr="00CE25CD" w:rsidRDefault="003E07B6" w:rsidP="00440B2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3E07B6" w:rsidRPr="00CE25CD" w:rsidRDefault="003E07B6" w:rsidP="00440B2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3E07B6" w:rsidRPr="00CE25CD" w:rsidRDefault="003E07B6" w:rsidP="00440B2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3E07B6" w:rsidRPr="00CE25CD" w:rsidRDefault="003E07B6" w:rsidP="00440B2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3E07B6" w:rsidRPr="00CE25CD" w:rsidRDefault="003E07B6" w:rsidP="00440B2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3E07B6" w:rsidRPr="00CE25CD" w:rsidRDefault="003E07B6" w:rsidP="00440B2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E07B6" w:rsidRPr="00CE25CD" w:rsidRDefault="003E07B6" w:rsidP="00440B2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E07B6" w:rsidRPr="00CE25CD" w:rsidRDefault="003E07B6" w:rsidP="00440B2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E07B6" w:rsidRPr="00CE25CD" w:rsidRDefault="003E07B6" w:rsidP="00440B2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3E07B6" w:rsidRPr="00CE25CD" w:rsidRDefault="003E07B6" w:rsidP="00440B2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E07B6" w:rsidRPr="00CE25CD" w:rsidRDefault="003E07B6" w:rsidP="00440B2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3E07B6" w:rsidRDefault="003E07B6" w:rsidP="00440B2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стоимость права за </w:t>
            </w:r>
          </w:p>
          <w:p w:rsidR="003E07B6" w:rsidRPr="00CE25CD" w:rsidRDefault="003E07B6" w:rsidP="00440B2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 сезон,</w:t>
            </w:r>
          </w:p>
          <w:p w:rsidR="003E07B6" w:rsidRPr="00CE25CD" w:rsidRDefault="003E07B6" w:rsidP="00440B2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07B6" w:rsidRPr="00CE25CD" w:rsidRDefault="003E07B6" w:rsidP="00440B2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3E07B6" w:rsidRPr="00CE25CD" w:rsidRDefault="003E07B6" w:rsidP="00440B2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3E07B6" w:rsidRPr="00CE25CD" w:rsidRDefault="003E07B6" w:rsidP="00440B2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3E07B6" w:rsidRPr="00CE25CD" w:rsidRDefault="003E07B6" w:rsidP="00440B2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3E07B6" w:rsidRPr="00CE25CD" w:rsidRDefault="003E07B6" w:rsidP="00440B2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3E07B6" w:rsidRPr="00CE25CD" w:rsidRDefault="003E07B6" w:rsidP="00440B2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3E07B6" w:rsidRPr="00CE25CD" w:rsidTr="00440B2B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3E07B6" w:rsidRPr="00CE25CD" w:rsidRDefault="003E07B6" w:rsidP="00440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E07B6" w:rsidRPr="00CE25CD" w:rsidRDefault="003E07B6" w:rsidP="00440B2B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E07B6" w:rsidRPr="00CE25CD" w:rsidRDefault="003E07B6" w:rsidP="00440B2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E07B6" w:rsidRPr="00CE25CD" w:rsidRDefault="003E07B6" w:rsidP="00440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E07B6" w:rsidRPr="00CE25CD" w:rsidRDefault="003E07B6" w:rsidP="00440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E07B6" w:rsidRPr="00CE25CD" w:rsidRDefault="003E07B6" w:rsidP="00440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E07B6" w:rsidRPr="00CE25CD" w:rsidRDefault="003E07B6" w:rsidP="00440B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07B6" w:rsidRPr="00CE25CD" w:rsidRDefault="003E07B6" w:rsidP="00440B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E07B6" w:rsidRPr="00CE25CD" w:rsidRDefault="003E07B6" w:rsidP="00440B2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3E07B6" w:rsidRPr="00CE25CD" w:rsidRDefault="003E07B6" w:rsidP="00440B2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3E07B6" w:rsidRPr="00CE25CD" w:rsidRDefault="003E07B6" w:rsidP="00440B2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3E07B6" w:rsidRPr="00CE25CD" w:rsidRDefault="003E07B6" w:rsidP="00440B2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07B6" w:rsidRPr="00CE25CD" w:rsidRDefault="003E07B6" w:rsidP="00440B2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3E07B6" w:rsidRPr="00CE25CD" w:rsidRDefault="003E07B6" w:rsidP="00440B2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3E07B6" w:rsidRPr="00CE25CD" w:rsidRDefault="003E07B6" w:rsidP="00440B2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3E07B6" w:rsidRPr="00CE25CD" w:rsidRDefault="003E07B6" w:rsidP="00440B2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3E07B6" w:rsidRPr="00CE25CD" w:rsidRDefault="003E07B6" w:rsidP="00440B2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3E07B6" w:rsidRPr="00CE25CD" w:rsidTr="00440B2B">
        <w:trPr>
          <w:trHeight w:val="109"/>
        </w:trPr>
        <w:tc>
          <w:tcPr>
            <w:tcW w:w="427" w:type="dxa"/>
            <w:shd w:val="clear" w:color="auto" w:fill="FFFFFF"/>
          </w:tcPr>
          <w:p w:rsidR="003E07B6" w:rsidRPr="00CE25CD" w:rsidRDefault="003E07B6" w:rsidP="00440B2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E07B6" w:rsidRPr="00CE25CD" w:rsidRDefault="003E07B6" w:rsidP="00440B2B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E07B6" w:rsidRPr="00CE25CD" w:rsidRDefault="003E07B6" w:rsidP="00440B2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E07B6" w:rsidRPr="00CE25CD" w:rsidRDefault="003E07B6" w:rsidP="00440B2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3E07B6" w:rsidRPr="00CE25CD" w:rsidRDefault="003E07B6" w:rsidP="00440B2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3E07B6" w:rsidRPr="00CE25CD" w:rsidRDefault="003E07B6" w:rsidP="00440B2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E07B6" w:rsidRPr="00CE25CD" w:rsidRDefault="003E07B6" w:rsidP="00440B2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E07B6" w:rsidRPr="00CE25CD" w:rsidRDefault="003E07B6" w:rsidP="00440B2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3E07B6" w:rsidRPr="00CE25CD" w:rsidRDefault="003E07B6" w:rsidP="00440B2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3E07B6" w:rsidRPr="00CE25CD" w:rsidRDefault="003E07B6" w:rsidP="00440B2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СК-К-1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Нижнезареченская дамба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4</w:t>
            </w:r>
            <w:r w:rsidRPr="00994A6C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994A6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2 587,68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405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СК-К-3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Нижнезареченская дамба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4</w:t>
            </w:r>
            <w:r w:rsidRPr="00994A6C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994A6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2 587,68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СК-К-5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Территория вблизи озера Глубокое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16:50:290201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4</w:t>
            </w:r>
            <w:r w:rsidRPr="00994A6C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994A6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2 587,68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СК-К-7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Территория вблизи озера Изумрудное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4</w:t>
            </w:r>
            <w:r w:rsidRPr="00994A6C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994A6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2 587,68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СК-М-3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Ул.Декабристов, 177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16:50:100412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60 738,33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3 036,92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60 738,33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СК-М-4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Ул.Гудованцева, 41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16:50:310501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57 032,05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2 851,60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57 032,05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СК-НС-6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Парк Стамбул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16:50:110508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43 998,99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2 199,95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СК-А-1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Ул.Гудованцева, 68/1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16:50:221221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64 691,90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3 234,60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64 691,90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СК-С-1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Ул.5-я Станционная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16:50:240107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4</w:t>
            </w:r>
            <w:r w:rsidRPr="00994A6C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994A6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2 587,68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51 753,52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СК-С-3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Ул.Мира (вблизи Бер</w:t>
            </w:r>
            <w:r w:rsidRPr="00496BB5">
              <w:rPr>
                <w:b/>
                <w:bCs/>
                <w:sz w:val="16"/>
                <w:szCs w:val="16"/>
              </w:rPr>
              <w:t>е</w:t>
            </w:r>
            <w:r w:rsidRPr="00496BB5">
              <w:rPr>
                <w:b/>
                <w:bCs/>
                <w:sz w:val="16"/>
                <w:szCs w:val="16"/>
              </w:rPr>
              <w:t>зовой рощи ж/м Де</w:t>
            </w:r>
            <w:r w:rsidRPr="00496BB5">
              <w:rPr>
                <w:b/>
                <w:bCs/>
                <w:sz w:val="16"/>
                <w:szCs w:val="16"/>
              </w:rPr>
              <w:t>р</w:t>
            </w:r>
            <w:r w:rsidRPr="00496BB5">
              <w:rPr>
                <w:b/>
                <w:bCs/>
                <w:sz w:val="16"/>
                <w:szCs w:val="16"/>
              </w:rPr>
              <w:t>бышки)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16:50:250601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4</w:t>
            </w:r>
            <w:r w:rsidRPr="00994A6C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994A6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47 918,66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2 395,93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  <w:tr w:rsidR="003E07B6" w:rsidRPr="00CE25CD" w:rsidTr="00440B2B">
        <w:trPr>
          <w:trHeight w:val="360"/>
        </w:trPr>
        <w:tc>
          <w:tcPr>
            <w:tcW w:w="433" w:type="dxa"/>
            <w:gridSpan w:val="2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СК-СГ-3</w:t>
            </w:r>
          </w:p>
        </w:tc>
        <w:tc>
          <w:tcPr>
            <w:tcW w:w="1985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Пляж «Локомотив»</w:t>
            </w:r>
          </w:p>
        </w:tc>
        <w:tc>
          <w:tcPr>
            <w:tcW w:w="567" w:type="dxa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16:50:012006</w:t>
            </w:r>
          </w:p>
        </w:tc>
        <w:tc>
          <w:tcPr>
            <w:tcW w:w="1134" w:type="dxa"/>
          </w:tcPr>
          <w:p w:rsidR="003E07B6" w:rsidRPr="00994A6C" w:rsidRDefault="003E07B6" w:rsidP="00440B2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4</w:t>
            </w:r>
            <w:r w:rsidRPr="00994A6C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994A6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496BB5">
              <w:rPr>
                <w:b/>
                <w:bCs/>
                <w:sz w:val="16"/>
                <w:szCs w:val="16"/>
              </w:rPr>
              <w:t>14 786,72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739,34</w:t>
            </w:r>
          </w:p>
        </w:tc>
        <w:tc>
          <w:tcPr>
            <w:tcW w:w="1134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E07B6" w:rsidRPr="00496BB5" w:rsidRDefault="003E07B6" w:rsidP="00440B2B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496BB5">
              <w:rPr>
                <w:sz w:val="16"/>
                <w:szCs w:val="16"/>
              </w:rPr>
              <w:t>2 000,00</w:t>
            </w:r>
          </w:p>
        </w:tc>
      </w:tr>
    </w:tbl>
    <w:p w:rsidR="002E31A9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</w:t>
      </w:r>
      <w:r w:rsidR="007E5FD2" w:rsidRPr="007E5FD2">
        <w:rPr>
          <w:bCs/>
          <w:sz w:val="18"/>
          <w:szCs w:val="18"/>
        </w:rPr>
        <w:t xml:space="preserve"> </w:t>
      </w:r>
      <w:r w:rsidR="007E5FD2" w:rsidRPr="0071240D">
        <w:rPr>
          <w:bCs/>
          <w:sz w:val="18"/>
          <w:szCs w:val="18"/>
        </w:rPr>
        <w:t>внесенных</w:t>
      </w:r>
      <w:r w:rsidR="00612DCC" w:rsidRPr="0071240D">
        <w:rPr>
          <w:bCs/>
          <w:sz w:val="18"/>
          <w:szCs w:val="18"/>
        </w:rPr>
        <w:t xml:space="preserve"> изменений)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4A3CF4" w:rsidRPr="00E013B5" w:rsidRDefault="004A3CF4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</w:rPr>
      </w:pPr>
      <w:r w:rsidRPr="00E013B5">
        <w:rPr>
          <w:sz w:val="18"/>
          <w:szCs w:val="18"/>
        </w:rPr>
        <w:t>Сезонное 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питания.</w:t>
      </w:r>
      <w:r w:rsidRPr="00E013B5">
        <w:rPr>
          <w:sz w:val="18"/>
          <w:szCs w:val="18"/>
          <w:u w:val="single"/>
        </w:rPr>
        <w:t xml:space="preserve"> </w:t>
      </w:r>
    </w:p>
    <w:p w:rsidR="004A3CF4" w:rsidRDefault="004A3CF4" w:rsidP="004A3CF4">
      <w:pPr>
        <w:pStyle w:val="ConsPlusNormal"/>
        <w:ind w:firstLine="284"/>
        <w:jc w:val="both"/>
      </w:pPr>
      <w:r>
        <w:t>Торговлю осуществлять в соответствии с З</w:t>
      </w:r>
      <w:r w:rsidRPr="000B0738">
        <w:t>акон</w:t>
      </w:r>
      <w:r>
        <w:t>ом</w:t>
      </w:r>
      <w:r w:rsidRPr="000B0738">
        <w:t xml:space="preserve"> Республики Татарстан от 06.03.2015 №10-ЗРТ </w:t>
      </w:r>
      <w:r>
        <w:t>«О дополнительных огранич</w:t>
      </w:r>
      <w:r>
        <w:t>е</w:t>
      </w:r>
      <w:r>
        <w:t>ниях времени, условий и мест розничной продажи алкогольной продукции на территории Республики Татарстан и признании утр</w:t>
      </w:r>
      <w:r>
        <w:t>а</w:t>
      </w:r>
      <w:r>
        <w:t>тившими силу некоторых законодательных актов Республики Татарстан».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2E56F8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>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</w:t>
      </w:r>
      <w:r w:rsidR="007E5FD2" w:rsidRPr="0071240D">
        <w:rPr>
          <w:bCs/>
          <w:sz w:val="18"/>
          <w:szCs w:val="18"/>
        </w:rPr>
        <w:t>с учетом</w:t>
      </w:r>
      <w:r w:rsidR="007E5FD2" w:rsidRPr="007E5FD2">
        <w:rPr>
          <w:bCs/>
          <w:sz w:val="18"/>
          <w:szCs w:val="18"/>
        </w:rPr>
        <w:t xml:space="preserve"> </w:t>
      </w:r>
      <w:r w:rsidR="007E5FD2" w:rsidRPr="0071240D">
        <w:rPr>
          <w:bCs/>
          <w:sz w:val="18"/>
          <w:szCs w:val="18"/>
        </w:rPr>
        <w:t>внесенных изменений</w:t>
      </w:r>
      <w:r w:rsidR="002B79F4" w:rsidRPr="002E56F8">
        <w:rPr>
          <w:sz w:val="18"/>
          <w:szCs w:val="18"/>
        </w:rPr>
        <w:t>)</w:t>
      </w:r>
      <w:r w:rsidR="00835E14" w:rsidRPr="002E56F8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г.Казани от 07.04.2014 №1861 </w:t>
      </w:r>
      <w:r w:rsidRPr="0055462E">
        <w:rPr>
          <w:sz w:val="18"/>
          <w:szCs w:val="18"/>
        </w:rPr>
        <w:lastRenderedPageBreak/>
        <w:t>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</w:t>
      </w:r>
      <w:r w:rsidR="007E5FD2">
        <w:rPr>
          <w:bCs/>
          <w:sz w:val="18"/>
          <w:szCs w:val="18"/>
        </w:rPr>
        <w:t xml:space="preserve"> (</w:t>
      </w:r>
      <w:r w:rsidR="007E5FD2" w:rsidRPr="0071240D">
        <w:rPr>
          <w:bCs/>
          <w:sz w:val="18"/>
          <w:szCs w:val="18"/>
        </w:rPr>
        <w:t>с учетом</w:t>
      </w:r>
      <w:r w:rsidR="007E5FD2" w:rsidRPr="007E5FD2">
        <w:rPr>
          <w:bCs/>
          <w:sz w:val="18"/>
          <w:szCs w:val="18"/>
        </w:rPr>
        <w:t xml:space="preserve"> </w:t>
      </w:r>
      <w:r w:rsidR="007E5FD2" w:rsidRPr="0071240D">
        <w:rPr>
          <w:bCs/>
          <w:sz w:val="18"/>
          <w:szCs w:val="18"/>
        </w:rPr>
        <w:t>внесенных изменений</w:t>
      </w:r>
      <w:r w:rsidR="007E5FD2">
        <w:rPr>
          <w:bCs/>
          <w:sz w:val="18"/>
          <w:szCs w:val="18"/>
        </w:rPr>
        <w:t>)</w:t>
      </w:r>
      <w:r w:rsidRPr="00531A37">
        <w:rPr>
          <w:bCs/>
          <w:sz w:val="18"/>
          <w:szCs w:val="18"/>
        </w:rPr>
        <w:t>.</w:t>
      </w:r>
      <w:r w:rsidR="007E5FD2">
        <w:rPr>
          <w:bCs/>
          <w:sz w:val="18"/>
          <w:szCs w:val="18"/>
        </w:rPr>
        <w:t xml:space="preserve"> Размещение сезонного нестационарного кафе ос</w:t>
      </w:r>
      <w:r w:rsidR="007E5FD2">
        <w:rPr>
          <w:bCs/>
          <w:sz w:val="18"/>
          <w:szCs w:val="18"/>
        </w:rPr>
        <w:t>у</w:t>
      </w:r>
      <w:r w:rsidR="007E5FD2">
        <w:rPr>
          <w:bCs/>
          <w:sz w:val="18"/>
          <w:szCs w:val="18"/>
        </w:rPr>
        <w:t>ществляется в соответствии с типовым или согласованным с Управлением архитектуры и градостроительства г.Казани проектом.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</w:t>
      </w:r>
      <w:r w:rsidRPr="00096BEF">
        <w:rPr>
          <w:sz w:val="18"/>
          <w:szCs w:val="18"/>
        </w:rPr>
        <w:t>о</w:t>
      </w:r>
      <w:r w:rsidRPr="00096BEF">
        <w:rPr>
          <w:sz w:val="18"/>
          <w:szCs w:val="18"/>
        </w:rPr>
        <w:t>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сезонное</w:t>
      </w:r>
      <w:r w:rsidR="00376D8E" w:rsidRPr="00376D8E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нестационарное кафе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7E5FD2" w:rsidRDefault="007E5FD2" w:rsidP="007E5FD2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</w:t>
      </w:r>
      <w:r>
        <w:rPr>
          <w:sz w:val="18"/>
          <w:szCs w:val="18"/>
        </w:rPr>
        <w:t>ператор электронной площадки - АО</w:t>
      </w:r>
      <w:r w:rsidRPr="008047CA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</w:p>
    <w:p w:rsidR="007E5FD2" w:rsidRPr="004D7996" w:rsidRDefault="007E5FD2" w:rsidP="007E5FD2">
      <w:pPr>
        <w:ind w:firstLine="284"/>
        <w:jc w:val="both"/>
        <w:rPr>
          <w:bCs/>
          <w:sz w:val="18"/>
          <w:szCs w:val="18"/>
        </w:rPr>
      </w:pPr>
      <w:r w:rsidRPr="00E87809">
        <w:rPr>
          <w:sz w:val="18"/>
          <w:szCs w:val="18"/>
        </w:rPr>
        <w:t>По вопросам, связанным с работой электронной торговой площадки, обращайтесь на электронную почту info@mail.zakazrf.ru с пометкой</w:t>
      </w:r>
      <w:r>
        <w:rPr>
          <w:sz w:val="18"/>
          <w:szCs w:val="18"/>
        </w:rPr>
        <w:t xml:space="preserve"> –</w:t>
      </w:r>
      <w:r w:rsidRPr="00E87809">
        <w:rPr>
          <w:sz w:val="18"/>
          <w:szCs w:val="18"/>
        </w:rPr>
        <w:t xml:space="preserve"> торги</w:t>
      </w:r>
      <w:r>
        <w:rPr>
          <w:sz w:val="18"/>
          <w:szCs w:val="18"/>
        </w:rPr>
        <w:t xml:space="preserve"> </w:t>
      </w:r>
      <w:r w:rsidRPr="00E87809">
        <w:rPr>
          <w:sz w:val="18"/>
          <w:szCs w:val="18"/>
        </w:rPr>
        <w:t>г.Казани</w:t>
      </w:r>
      <w:r>
        <w:rPr>
          <w:sz w:val="18"/>
          <w:szCs w:val="18"/>
        </w:rPr>
        <w:t xml:space="preserve"> </w:t>
      </w:r>
      <w:r w:rsidRPr="00E87809">
        <w:rPr>
          <w:sz w:val="18"/>
          <w:szCs w:val="18"/>
        </w:rPr>
        <w:t>на площадке</w:t>
      </w:r>
      <w:r w:rsidRPr="00E87809">
        <w:rPr>
          <w:sz w:val="18"/>
          <w:szCs w:val="18"/>
          <w:shd w:val="clear" w:color="auto" w:fill="EEEEEE"/>
        </w:rPr>
        <w:t xml:space="preserve"> </w:t>
      </w:r>
      <w:r w:rsidR="0019703C">
        <w:rPr>
          <w:sz w:val="18"/>
          <w:szCs w:val="18"/>
          <w:lang w:val="en-US"/>
        </w:rPr>
        <w:t>sale</w:t>
      </w:r>
      <w:r w:rsidRPr="00E87809">
        <w:rPr>
          <w:sz w:val="18"/>
          <w:szCs w:val="18"/>
        </w:rPr>
        <w:t>.zakazrf.ru</w:t>
      </w:r>
      <w:r>
        <w:rPr>
          <w:sz w:val="18"/>
          <w:szCs w:val="18"/>
        </w:rPr>
        <w:t>.</w:t>
      </w:r>
    </w:p>
    <w:p w:rsidR="00210C3B" w:rsidRPr="008047CA" w:rsidRDefault="00210C3B" w:rsidP="00286566">
      <w:pPr>
        <w:tabs>
          <w:tab w:val="left" w:pos="142"/>
        </w:tabs>
        <w:suppressAutoHyphens/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19703C">
        <w:rPr>
          <w:b/>
          <w:sz w:val="18"/>
          <w:szCs w:val="18"/>
          <w:lang w:val="en-US"/>
        </w:rPr>
        <w:t>sale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hyperlink r:id="rId9" w:history="1">
        <w:r w:rsidR="00286566"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площадке,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 xml:space="preserve">Уполномоченный орган в течение двух рабочих дней с даты поступления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286566">
      <w:pPr>
        <w:tabs>
          <w:tab w:val="left" w:pos="140"/>
        </w:tabs>
        <w:suppressAutoHyphens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2E31A9">
        <w:rPr>
          <w:sz w:val="18"/>
          <w:szCs w:val="18"/>
        </w:rPr>
        <w:t>;</w:t>
      </w:r>
    </w:p>
    <w:p w:rsidR="00C2558F" w:rsidRPr="005E7D8A" w:rsidRDefault="002E31A9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5B72AC">
        <w:rPr>
          <w:b/>
          <w:spacing w:val="4"/>
          <w:sz w:val="18"/>
          <w:szCs w:val="18"/>
        </w:rPr>
        <w:t>10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5B72A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865951" w:rsidRPr="00865951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5B72AC">
        <w:rPr>
          <w:b/>
          <w:spacing w:val="4"/>
          <w:sz w:val="18"/>
          <w:szCs w:val="18"/>
        </w:rPr>
        <w:t>23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5B72AC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865951" w:rsidRPr="00865951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286566" w:rsidRPr="00286566">
        <w:rPr>
          <w:b/>
          <w:spacing w:val="4"/>
          <w:sz w:val="18"/>
          <w:szCs w:val="18"/>
        </w:rPr>
        <w:t>2</w:t>
      </w:r>
      <w:r w:rsidR="005B72AC">
        <w:rPr>
          <w:b/>
          <w:spacing w:val="4"/>
          <w:sz w:val="18"/>
          <w:szCs w:val="18"/>
        </w:rPr>
        <w:t>6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5B72A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865951" w:rsidRPr="00865951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5B72AC">
        <w:rPr>
          <w:b/>
          <w:spacing w:val="4"/>
          <w:sz w:val="18"/>
          <w:szCs w:val="18"/>
        </w:rPr>
        <w:t>0</w:t>
      </w:r>
      <w:r w:rsidR="00286566" w:rsidRPr="00286566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5B72AC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865951" w:rsidRPr="00865951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</w:p>
    <w:p w:rsidR="00F1242D" w:rsidRPr="00286566" w:rsidRDefault="00F1242D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</w:t>
      </w:r>
      <w:r w:rsidR="003E07B6">
        <w:rPr>
          <w:b/>
          <w:spacing w:val="4"/>
          <w:sz w:val="18"/>
          <w:szCs w:val="18"/>
        </w:rPr>
        <w:t>и</w:t>
      </w:r>
      <w:r>
        <w:rPr>
          <w:b/>
          <w:spacing w:val="4"/>
          <w:sz w:val="18"/>
          <w:szCs w:val="18"/>
        </w:rPr>
        <w:t xml:space="preserve"> размещения: </w:t>
      </w:r>
      <w:r w:rsidR="003E07B6">
        <w:rPr>
          <w:b/>
          <w:spacing w:val="4"/>
          <w:sz w:val="18"/>
          <w:szCs w:val="18"/>
        </w:rPr>
        <w:t>в течение сезона в соответствии с договором</w:t>
      </w:r>
      <w:bookmarkStart w:id="1" w:name="_GoBack"/>
      <w:bookmarkEnd w:id="1"/>
      <w:r w:rsidR="00286566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lastRenderedPageBreak/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2E31A9" w:rsidRPr="00777E8C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07B6">
      <w:rPr>
        <w:rStyle w:val="a9"/>
        <w:noProof/>
      </w:rPr>
      <w:t>3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2D10"/>
    <w:rsid w:val="00163E7B"/>
    <w:rsid w:val="00166865"/>
    <w:rsid w:val="00167706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03C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566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56F8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7B6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C7122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2AC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D2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65951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015D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242D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C73E-D0AF-4791-B3A2-01DBBB8E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4747</Words>
  <Characters>27063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31747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18</cp:revision>
  <cp:lastPrinted>2018-04-09T07:43:00Z</cp:lastPrinted>
  <dcterms:created xsi:type="dcterms:W3CDTF">2017-02-16T11:13:00Z</dcterms:created>
  <dcterms:modified xsi:type="dcterms:W3CDTF">2018-04-09T12:58:00Z</dcterms:modified>
</cp:coreProperties>
</file>